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5552"/>
        <w:gridCol w:w="3796"/>
      </w:tblGrid>
      <w:tr w:rsidR="00927612">
        <w:trPr>
          <w:trHeight w:val="4253"/>
          <w:jc w:val="center"/>
        </w:trPr>
        <w:tc>
          <w:tcPr>
            <w:tcW w:w="9348" w:type="dxa"/>
            <w:gridSpan w:val="2"/>
          </w:tcPr>
          <w:p w:rsidR="00927612" w:rsidRDefault="00554772">
            <w:pPr>
              <w:pStyle w:val="1"/>
            </w:pPr>
            <w:bookmarkStart w:id="0" w:name="_GoBack"/>
            <w:bookmarkEnd w:id="0"/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100" cy="685800"/>
                      <wp:effectExtent l="19050" t="0" r="635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6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3.0pt;height:54.0pt;mso-wrap-distance-left:0.0pt;mso-wrap-distance-top:0.0pt;mso-wrap-distance-right:0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 w:rsidR="00927612" w:rsidRDefault="00927612">
            <w:pPr>
              <w:rPr>
                <w:rFonts w:ascii="Times New Roman" w:hAnsi="Times New Roman" w:cs="Times New Roman"/>
              </w:rPr>
            </w:pPr>
          </w:p>
          <w:p w:rsidR="00927612" w:rsidRDefault="0055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927612" w:rsidRDefault="00927612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7612" w:rsidRDefault="00554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927612" w:rsidRDefault="00927612">
            <w:pPr>
              <w:rPr>
                <w:rFonts w:ascii="Times New Roman" w:hAnsi="Times New Roman" w:cs="Times New Roman"/>
              </w:rPr>
            </w:pPr>
          </w:p>
          <w:p w:rsidR="00927612" w:rsidRDefault="00554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 2023                                                                                                                                 №117</w:t>
            </w:r>
          </w:p>
          <w:p w:rsidR="00927612" w:rsidRDefault="00927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7612">
        <w:trPr>
          <w:gridAfter w:val="1"/>
          <w:wAfter w:w="3796" w:type="dxa"/>
          <w:jc w:val="center"/>
        </w:trPr>
        <w:tc>
          <w:tcPr>
            <w:tcW w:w="55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7612" w:rsidRDefault="00554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25.05.2022 № 779 «</w:t>
            </w:r>
            <w:bookmarkStart w:id="1" w:name="_Hlk124434046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Примерного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муниципального казенного учреждения «Управление капитального строительства и жилищно-коммунального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Сосновоборска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7612">
        <w:trPr>
          <w:gridAfter w:val="1"/>
          <w:wAfter w:w="3796" w:type="dxa"/>
          <w:jc w:val="center"/>
        </w:trPr>
        <w:tc>
          <w:tcPr>
            <w:tcW w:w="55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7612" w:rsidRDefault="00927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12" w:rsidRDefault="0055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оплаты труда руководителей муниципальных учреждений, в соответствии со статьей 144 Трудового кодекса Российской Федерации, </w:t>
      </w:r>
      <w:hyperlink r:id="rId11" w:tooltip="consultantplus://offline/ref=8E8C624C5B07CF482728C4B4833F68F94445E5772C8803C0D861FD308A9DCBF978B496D27A992169A55360ZEKDC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Решением Сосновоборского городского Совета депутатов от 21.12.2016 №15/64-р «О системах оплаты труда работников м</w:t>
      </w:r>
      <w:r>
        <w:rPr>
          <w:rFonts w:ascii="Times New Roman" w:hAnsi="Times New Roman" w:cs="Times New Roman"/>
          <w:sz w:val="28"/>
          <w:szCs w:val="28"/>
        </w:rPr>
        <w:t>униципальных учреждений города Сосновоборска», руководствуясь ст. ст. 26, 38 Устава города Сосновоборска Красноярского края,</w:t>
      </w:r>
    </w:p>
    <w:p w:rsidR="00927612" w:rsidRDefault="009276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7612" w:rsidRDefault="005547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</w:p>
    <w:p w:rsidR="00927612" w:rsidRDefault="0092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612" w:rsidRDefault="00554772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25.05.2022 № 779 «Об утверждении Примерного положения об оплате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«Управление капитального строительства и жилищно-коммунального хозяйства города Сосновоборска» (далее – Примерное положение) следующие изменения:</w:t>
      </w:r>
    </w:p>
    <w:p w:rsidR="00927612" w:rsidRDefault="00554772">
      <w:pPr>
        <w:pStyle w:val="af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990434"/>
      <w:r>
        <w:rPr>
          <w:rFonts w:ascii="Times New Roman" w:hAnsi="Times New Roman" w:cs="Times New Roman"/>
          <w:sz w:val="28"/>
          <w:szCs w:val="28"/>
        </w:rPr>
        <w:t xml:space="preserve">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Примерного положения изложить в новой редак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927612" w:rsidRDefault="0055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>
        <w:rPr>
          <w:rFonts w:ascii="Times New Roman" w:hAnsi="Times New Roman" w:cs="Times New Roman"/>
          <w:sz w:val="28"/>
          <w:szCs w:val="28"/>
        </w:rPr>
        <w:tab/>
        <w:t>Группа по оплате труда руководителю учреждения устанавливается распоряжением Администрации города Сосновоборска в соответствии с подведомственной принадлежностью учреждения (далее – Администрация) и определяется не реже одного раза в год в соответ</w:t>
      </w:r>
      <w:r>
        <w:rPr>
          <w:rFonts w:ascii="Times New Roman" w:hAnsi="Times New Roman" w:cs="Times New Roman"/>
          <w:sz w:val="28"/>
          <w:szCs w:val="28"/>
        </w:rPr>
        <w:t>ствии со значениями объемных показателей за предшествующий год.»</w:t>
      </w:r>
      <w:bookmarkEnd w:id="2"/>
    </w:p>
    <w:p w:rsidR="00927612" w:rsidRDefault="00554772">
      <w:pPr>
        <w:pStyle w:val="af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Примерного положения изложить в новой редакции:</w:t>
      </w:r>
    </w:p>
    <w:p w:rsidR="00927612" w:rsidRDefault="0055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</w:t>
      </w:r>
      <w:r>
        <w:rPr>
          <w:rFonts w:ascii="Times New Roman" w:hAnsi="Times New Roman" w:cs="Times New Roman"/>
          <w:sz w:val="28"/>
          <w:szCs w:val="28"/>
        </w:rPr>
        <w:tab/>
        <w:t>Распределение средств на осуществление выплат стимулирующего характера (выплата за важность выполняемой работы, степе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самостоятельности и ответственности при выполнении поставленных задач; выплата за интенсивность и высокие результаты работы; выплата за качество выполняемых работ; персональные выплаты; выплаты по итогам работы) руководителю учреждения осуществляется еж</w:t>
      </w:r>
      <w:r>
        <w:rPr>
          <w:rFonts w:ascii="Times New Roman" w:hAnsi="Times New Roman" w:cs="Times New Roman"/>
          <w:sz w:val="28"/>
          <w:szCs w:val="28"/>
        </w:rPr>
        <w:t>еквартально с учетом мнения рабочей группы образованной Администрацией (далее – рабочая группа), на основании оценки выполнения показателей работы (критерии оценки эффективности и качества деятельности) учреждения  руководителя Учреждения и утверждается по</w:t>
      </w:r>
      <w:r>
        <w:rPr>
          <w:rFonts w:ascii="Times New Roman" w:hAnsi="Times New Roman" w:cs="Times New Roman"/>
          <w:sz w:val="28"/>
          <w:szCs w:val="28"/>
        </w:rPr>
        <w:t>становлением администрации города.».</w:t>
      </w:r>
    </w:p>
    <w:p w:rsidR="00927612" w:rsidRDefault="00554772">
      <w:pPr>
        <w:pStyle w:val="af4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Примерного положения изложить в новой редакции:</w:t>
      </w:r>
    </w:p>
    <w:p w:rsidR="00927612" w:rsidRDefault="0055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«10.1. Руководитель учреждения предоставляет в рабочую группу, аналитическую информацию согласно критериям оценки эффективности и качества деятельно</w:t>
      </w:r>
      <w:r>
        <w:rPr>
          <w:rFonts w:ascii="Times New Roman" w:hAnsi="Times New Roman" w:cs="Times New Roman"/>
          <w:sz w:val="28"/>
          <w:szCs w:val="28"/>
        </w:rPr>
        <w:t>сти учреждения, являющуюся основанием для премирования руководителей учреждений.»</w:t>
      </w:r>
    </w:p>
    <w:p w:rsidR="00927612" w:rsidRDefault="00554772">
      <w:pPr>
        <w:pStyle w:val="af4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№ 3 «Должности, не предусмотренные профессиональными квалификационными группами» Приложения № 1 к Примерному положению дополнить строкой: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2"/>
        <w:gridCol w:w="2691"/>
      </w:tblGrid>
      <w:tr w:rsidR="00927612">
        <w:trPr>
          <w:trHeight w:val="2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6 742,00</w:t>
            </w:r>
          </w:p>
        </w:tc>
      </w:tr>
    </w:tbl>
    <w:p w:rsidR="00927612" w:rsidRDefault="00554772">
      <w:pPr>
        <w:pStyle w:val="af4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6049426"/>
      <w:r>
        <w:rPr>
          <w:rFonts w:ascii="Times New Roman" w:hAnsi="Times New Roman" w:cs="Times New Roman"/>
          <w:sz w:val="28"/>
          <w:szCs w:val="28"/>
        </w:rPr>
        <w:t>Приложение 1 к Приложению № 2 Примерного положения изложить в новой редакции согласно приложению № 1 к настоящему постановлению;</w:t>
      </w:r>
      <w:bookmarkEnd w:id="3"/>
    </w:p>
    <w:p w:rsidR="00927612" w:rsidRDefault="00554772">
      <w:pPr>
        <w:pStyle w:val="af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2а к Приложению № 2 Примерного положения изложить в новой редакции согласно приложению № 2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927612" w:rsidRDefault="00554772">
      <w:pPr>
        <w:pStyle w:val="af4"/>
        <w:numPr>
          <w:ilvl w:val="0"/>
          <w:numId w:val="9"/>
        </w:numPr>
        <w:tabs>
          <w:tab w:val="left" w:pos="-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01.01.2023.</w:t>
      </w:r>
    </w:p>
    <w:p w:rsidR="00927612" w:rsidRDefault="0055477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города по общественно-политической работе (О.Н. Кожемякин).</w:t>
      </w:r>
    </w:p>
    <w:p w:rsidR="00927612" w:rsidRDefault="00927612">
      <w:pPr>
        <w:pStyle w:val="af4"/>
        <w:tabs>
          <w:tab w:val="left" w:pos="-326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927612" w:rsidRDefault="0092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12" w:rsidRDefault="0092761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7612" w:rsidRDefault="0092761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7612" w:rsidRDefault="0055477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Сосновоборска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А. С. Кудрявцев</w:t>
      </w:r>
    </w:p>
    <w:p w:rsidR="00927612" w:rsidRDefault="0055477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 w:clear="all"/>
      </w:r>
    </w:p>
    <w:p w:rsidR="00927612" w:rsidRDefault="00927612">
      <w:pPr>
        <w:widowControl w:val="0"/>
        <w:outlineLvl w:val="0"/>
        <w:rPr>
          <w:rFonts w:ascii="Times New Roman" w:eastAsia="Calibri" w:hAnsi="Times New Roman" w:cs="Times New Roman"/>
          <w:sz w:val="24"/>
          <w:szCs w:val="24"/>
        </w:rPr>
        <w:sectPr w:rsidR="0092761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27612">
        <w:trPr>
          <w:trHeight w:val="991"/>
          <w:jc w:val="right"/>
        </w:trPr>
        <w:tc>
          <w:tcPr>
            <w:tcW w:w="4785" w:type="dxa"/>
          </w:tcPr>
          <w:p w:rsidR="00927612" w:rsidRDefault="00554772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№ 1 </w:t>
            </w:r>
          </w:p>
          <w:p w:rsidR="00927612" w:rsidRDefault="0055477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:rsidR="00927612" w:rsidRDefault="0055477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31.01.2023 №117</w:t>
            </w:r>
          </w:p>
        </w:tc>
      </w:tr>
    </w:tbl>
    <w:p w:rsidR="00927612" w:rsidRDefault="0092761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386" w:type="dxa"/>
        <w:tblInd w:w="10031" w:type="dxa"/>
        <w:tblLook w:val="04A0" w:firstRow="1" w:lastRow="0" w:firstColumn="1" w:lastColumn="0" w:noHBand="0" w:noVBand="1"/>
      </w:tblPr>
      <w:tblGrid>
        <w:gridCol w:w="5386"/>
      </w:tblGrid>
      <w:tr w:rsidR="00927612">
        <w:trPr>
          <w:trHeight w:val="367"/>
        </w:trPr>
        <w:tc>
          <w:tcPr>
            <w:tcW w:w="5386" w:type="dxa"/>
            <w:shd w:val="clear" w:color="auto" w:fill="auto"/>
          </w:tcPr>
          <w:p w:rsidR="00927612" w:rsidRDefault="00554772">
            <w:pPr>
              <w:widowControl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Приложение 1</w:t>
            </w:r>
          </w:p>
        </w:tc>
      </w:tr>
    </w:tbl>
    <w:p w:rsidR="00927612" w:rsidRDefault="00554772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Виды, условия, размер и порядок установления выплат стимулирующего</w:t>
      </w:r>
    </w:p>
    <w:p w:rsidR="00927612" w:rsidRDefault="0055477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характера, в том числе критерии оценки результативности и качества труда работников МКУ «УКС и ЖКХ»</w:t>
      </w:r>
    </w:p>
    <w:tbl>
      <w:tblPr>
        <w:tblW w:w="16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400"/>
        <w:gridCol w:w="6"/>
        <w:gridCol w:w="5800"/>
        <w:gridCol w:w="2268"/>
        <w:gridCol w:w="12"/>
        <w:gridCol w:w="1556"/>
        <w:gridCol w:w="6"/>
      </w:tblGrid>
      <w:tr w:rsidR="00927612">
        <w:trPr>
          <w:trHeight w:val="610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927612" w:rsidRDefault="00554772">
            <w:pPr>
              <w:ind w:right="-1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Должности</w:t>
            </w:r>
          </w:p>
        </w:tc>
        <w:tc>
          <w:tcPr>
            <w:tcW w:w="4406" w:type="dxa"/>
            <w:gridSpan w:val="2"/>
            <w:vMerge w:val="restart"/>
            <w:shd w:val="clear" w:color="auto" w:fill="auto"/>
            <w:vAlign w:val="center"/>
          </w:tcPr>
          <w:p w:rsidR="00927612" w:rsidRDefault="00554772">
            <w:pPr>
              <w:ind w:left="3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Предельный процент к окладу (должностному окладу), ставки заработной платы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vMerge/>
            <w:shd w:val="clear" w:color="auto" w:fill="auto"/>
            <w:vAlign w:val="center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индикатор</w:t>
            </w: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27612">
        <w:trPr>
          <w:trHeight w:val="205"/>
        </w:trPr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сметчик</w:t>
            </w:r>
          </w:p>
        </w:tc>
        <w:tc>
          <w:tcPr>
            <w:tcW w:w="14048" w:type="dxa"/>
            <w:gridSpan w:val="7"/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Ведение профессиональной документации 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Полнота и соответствие документации установленным нормам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Результативность работы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выполнены в срок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rPr>
          <w:trHeight w:val="602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Систематическое выполнение срочных заданий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без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Техническое и программное обеспечение и его использование в работе, освоение новых программных форм 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программного обеспечения для соблюдения технологии порядка документооборота, </w:t>
            </w:r>
            <w:r>
              <w:rPr>
                <w:rFonts w:ascii="Times New Roman" w:eastAsia="Calibri" w:hAnsi="Times New Roman" w:cs="Times New Roman"/>
              </w:rPr>
              <w:lastRenderedPageBreak/>
              <w:t>использование новых дополнительных программ, использование в работе электронной почты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Своевременность, оперативность 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Добросовестное исполнение трудовых обязанностей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vMerge w:val="restart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замечаний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Бесконфликтные отношения с коллегами и посетителями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конфликтов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инженер</w:t>
            </w: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Результативность работы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выполнены в срок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Своевременная подготовка локальных нормативных актов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Полнота соответствия нормативным и локальным актам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письменных замечаний руководителя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Добросовестное исполнение трудовых обязанностей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жалоб на качество исполнения трудовых обязанностей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 виды работ, не входящие в должностные обязанности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дополнительных поручений руководителя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полном объеме, в срок, без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Бесконфликтные отношения с коллегами и посетителями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конфликтов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документации по вопросам, входящим в компетенцию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нормативным документам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Полное соответствие нормативным документам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оперативный дежурный</w:t>
            </w: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Результативность работы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выполнены в срок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Ответственное отношение к выполнению поставленных задач, определенных должностными обязанностями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Своевременное выполнение плановых мероприятий, достижение высоких показателей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 представленные отчеты, соде</w:t>
            </w:r>
            <w:r>
              <w:rPr>
                <w:rFonts w:ascii="Times New Roman" w:eastAsia="Calibri" w:hAnsi="Times New Roman" w:cs="Times New Roman"/>
              </w:rPr>
              <w:t xml:space="preserve">ржащих полную информацию о проведении мероприятий и о выполнении планов работы 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Систематическое выполнение срочных заданий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без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Исполнительская культура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Своевременное исполнение поручений руководителя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работы ЕДДС в соответствии с планом работы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Включенность в плановые мероприятия 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Бесконфликтные отношения с коллегами и посетителями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конфликтов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7612">
        <w:trPr>
          <w:trHeight w:val="70"/>
        </w:trPr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Диспетчер, оперативный дежурный</w:t>
            </w: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Результативность работы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выполнены в срок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Способность выполнять должностные функции самостоятельно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Эффективность проведенной работы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Систематическое выполнение срочных заданий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без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Своевременность и оперативность выполнения поручений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поручений в установленные сроки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компетентность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Способность выполнять должностные функции самостоятельно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27612">
        <w:trPr>
          <w:trHeight w:val="70"/>
        </w:trPr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Смотритель кладбища</w:t>
            </w: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Результативность работы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Работы выполнены в срок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замечаний, предписаний контролирующих или надзорных органов, аварий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сохранности имущества и его учет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 по утрате и порче имущества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дополнительных работ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проведении контрольных мероприятий 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Добросовестное исполнение трудовых обязанностей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Бесконфликтные отношения с коллегами и посетителями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конфликтов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компетентность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Способность выполнять должностные функции самостоятельно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927612">
        <w:trPr>
          <w:trHeight w:val="70"/>
        </w:trPr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по закупкам</w:t>
            </w:r>
          </w:p>
        </w:tc>
        <w:tc>
          <w:tcPr>
            <w:tcW w:w="14048" w:type="dxa"/>
            <w:gridSpan w:val="7"/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Ведение профессиональной документации 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Полнота и соответствие документации установленным нормам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Оказание методической помощи руководителям подведомственных учреждений по возникающим вопросам проведения закупок, новых нормативных документов, актов, требований вышестоящих органов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Своевременность и достоверность предоставляемой информации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 замечаний </w:t>
            </w:r>
            <w:r>
              <w:rPr>
                <w:rFonts w:ascii="Times New Roman" w:eastAsia="Calibri" w:hAnsi="Times New Roman" w:cs="Times New Roman"/>
              </w:rPr>
              <w:t>со стороны руководителей подведомственных учреждений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Систематическое выполнение срочных заданий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без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Техническое и программное обеспечение и его использование в работе, освоение новых программных форм 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программного обеспечения для соблюдения технологии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Своевременность, оперативность и отсутствие ошибок в данных учета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Добросовестное исполнение трудовых обязанностей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vMerge w:val="restart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замечаний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92761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Бесконфликтные отношения с коллегами и посетителями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конфликтов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Заключение муниципальных контрактов, договоров с поставщиками, работа с сайтом закупок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Муниципальные контракты, договора заключены согласно действующему законодательству и размещена информация на официальном сайте РФ для размещения заказов.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прев</w:t>
            </w:r>
            <w:r>
              <w:rPr>
                <w:rFonts w:ascii="Times New Roman" w:eastAsia="Calibri" w:hAnsi="Times New Roman" w:cs="Times New Roman"/>
              </w:rPr>
              <w:t>ышения лимитов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ind w:left="34" w:right="-25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Уборщик служебных помещений</w:t>
            </w:r>
          </w:p>
        </w:tc>
        <w:tc>
          <w:tcPr>
            <w:tcW w:w="14042" w:type="dxa"/>
            <w:gridSpan w:val="6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замечаний, предписаний контролирующих или надзорных органов, аварий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сохранности имущества и его учет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 по утрате и порче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2" w:type="dxa"/>
            <w:gridSpan w:val="6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дополнительных работ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проведении ремонтных работ. Погрузочно-разгрузочные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Высокое качество ремонтных работ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письменных замечаний руководителя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2" w:type="dxa"/>
            <w:gridSpan w:val="6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5806" w:type="dxa"/>
            <w:gridSpan w:val="2"/>
            <w:vMerge w:val="restart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Состояние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предписаний контролирующих или надзорных органов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27612">
        <w:trPr>
          <w:gridAfter w:val="1"/>
          <w:wAfter w:w="6" w:type="dxa"/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0" w:type="dxa"/>
            <w:vMerge/>
            <w:shd w:val="clear" w:color="auto" w:fill="auto"/>
            <w:vAlign w:val="center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6" w:type="dxa"/>
            <w:gridSpan w:val="2"/>
            <w:vMerge/>
            <w:shd w:val="clear" w:color="auto" w:fill="auto"/>
            <w:vAlign w:val="center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 руководителя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927612" w:rsidRDefault="0055477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27612">
        <w:trPr>
          <w:trHeight w:val="70"/>
        </w:trPr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Юрисконсульт</w:t>
            </w:r>
          </w:p>
        </w:tc>
        <w:tc>
          <w:tcPr>
            <w:tcW w:w="14048" w:type="dxa"/>
            <w:gridSpan w:val="7"/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Оперативное реагирование на изменение законодательства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созданных локальных актов, писем в подведомственные учреждения на основании изменений в законодательства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созданных локальных актов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Оказание качественной правовой</w:t>
            </w:r>
          </w:p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помощи подведомственным учреждениям в подготовке и оформлении различного рода</w:t>
            </w:r>
          </w:p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правовых документов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Наличие/</w:t>
            </w:r>
          </w:p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100%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Своевременная подготовка документов по претензионно-исковой работе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Корректность и компетентность оформляемых документов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Соблюдение сроков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и поручений руководителя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поручений в установленные сроки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Выплата за качество выполняемых работ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Представление интересов учреждения при проведении проверок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замечаний контролирующих органов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927612">
        <w:trPr>
          <w:trHeight w:val="70"/>
        </w:trPr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Эффективное ведение претензионно-исковой работы учреждений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Своевременное направление претензий и исков, представление интересов учреждения, подведомственных учреждений в суде и при рассмотрении иных дел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решений, ущемляющих интересы учреждения, отсутствие замечаний руководителя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927612">
        <w:tc>
          <w:tcPr>
            <w:tcW w:w="2014" w:type="dxa"/>
            <w:vMerge w:val="restart"/>
            <w:shd w:val="clear" w:color="auto" w:fill="auto"/>
          </w:tcPr>
          <w:p w:rsidR="00927612" w:rsidRDefault="00554772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4" w:name="_Hlk98940682"/>
            <w:r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14048" w:type="dxa"/>
            <w:gridSpan w:val="7"/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в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Ведение документации по бухгалтерскому сопровождению учреждений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Полнота и соответствие документации установленным нормам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Обработка и предоставление бухгалтерских сведений учреждениям, организациям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объема и полноты  предоставляемых сведений установленным нормам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Оказание методической помощи руководителям подведомственных учреждений по возникающим вопроса</w:t>
            </w:r>
            <w:r>
              <w:rPr>
                <w:rFonts w:ascii="Times New Roman" w:eastAsia="Calibri" w:hAnsi="Times New Roman" w:cs="Times New Roman"/>
              </w:rPr>
              <w:t>м исполнения бюджета, новых нормативных документов, актов, требований вышестоящих органов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Своевременность и достоверность предоставляемой информации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замечаний со стороны руководителей подведомственных учреждений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за использованием бюджетных и внебюджетных средств учреждения в порядке, установленном действующим законодательством и уставом учреждения, эффективное и рациональное их использование, контроль за недопущением нецелевого использования средств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</w:t>
            </w:r>
            <w:r>
              <w:rPr>
                <w:rFonts w:ascii="Times New Roman" w:eastAsia="Calibri" w:hAnsi="Times New Roman" w:cs="Times New Roman"/>
              </w:rPr>
              <w:t>ременность осуществления контроля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нарушений финансовой дисциплины учреждения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интенсивность и высокие результаты работы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Систематическое выполнение срочных заданий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без замечаний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и программное обеспечение и его использование в работе, освоение новых программных форм бухгалтерского учета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программного обеспечения для соблюдения технологии бухгалтерской информации и порядка документооборота, использование новых дополнительных программ, использование в работе электронной почты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Своевременность, оперативность и отсутствие ошибок в</w:t>
            </w:r>
            <w:r>
              <w:rPr>
                <w:rFonts w:ascii="Times New Roman" w:eastAsia="Calibri" w:hAnsi="Times New Roman" w:cs="Times New Roman"/>
              </w:rPr>
              <w:t xml:space="preserve"> данных учета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Добросовестное исполнение трудовых обязанностей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письменных жалоб на качество исполнения трудовых обязанностей и дисциплинарных обязанностей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Осуществление дополнительной работы 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экономического анализа финансово-хозяйственной деятельности в целях изыскания экономии и рационального использования средств, представление информации не входящей в перечень установленной отчетности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Своевременное выполнение поставленных задач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8" w:type="dxa"/>
            <w:gridSpan w:val="7"/>
            <w:shd w:val="clear" w:color="auto" w:fill="auto"/>
          </w:tcPr>
          <w:p w:rsidR="00927612" w:rsidRDefault="00554772">
            <w:pPr>
              <w:ind w:left="3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Выплаты за качество выполняемых работ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Высокая исполнительская дисциплина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Обеспечение платежной и кассовой дисциплины.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Отсутствие просроченной дебиторской и кредиторской задолженности</w:t>
            </w:r>
            <w:r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отсутствие превышения,</w:t>
            </w:r>
            <w:r>
              <w:rPr>
                <w:rFonts w:ascii="Times New Roman" w:eastAsia="Calibri" w:hAnsi="Times New Roman" w:cs="Times New Roman"/>
              </w:rPr>
              <w:t xml:space="preserve"> утвержденного ФОТ образовательным учреждениям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за соответствием данных бухгалтерского учета и фактического наличия имущества в оперативном управлении учреждений</w:t>
            </w:r>
          </w:p>
        </w:tc>
        <w:tc>
          <w:tcPr>
            <w:tcW w:w="5800" w:type="dxa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Своевременное отражение на счетах бухгалтерского учета операций связанных с движением основных средств, товарно-материальных ценностей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27612">
        <w:tc>
          <w:tcPr>
            <w:tcW w:w="2014" w:type="dxa"/>
            <w:vMerge/>
            <w:shd w:val="clear" w:color="auto" w:fill="auto"/>
          </w:tcPr>
          <w:p w:rsidR="00927612" w:rsidRDefault="009276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и своевременное представление бухгалтерской, налоговой и статистической отчетности</w:t>
            </w:r>
          </w:p>
        </w:tc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</w:t>
            </w:r>
            <w:r>
              <w:rPr>
                <w:rFonts w:ascii="Times New Roman" w:eastAsia="Calibri" w:hAnsi="Times New Roman" w:cs="Times New Roman"/>
              </w:rPr>
              <w:t>ение формирования полной достоверной информации, своевременность предоставления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полном объеме и в срок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612" w:rsidRDefault="005547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bookmarkEnd w:id="4"/>
          </w:p>
        </w:tc>
      </w:tr>
    </w:tbl>
    <w:p w:rsidR="00927612" w:rsidRDefault="0055477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&lt;*&gt; исходя из 100-балльной системы.</w:t>
      </w: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  <w:sectPr w:rsidR="0092761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27612">
        <w:trPr>
          <w:jc w:val="right"/>
        </w:trPr>
        <w:tc>
          <w:tcPr>
            <w:tcW w:w="4785" w:type="dxa"/>
          </w:tcPr>
          <w:p w:rsidR="00927612" w:rsidRDefault="00554772">
            <w:pPr>
              <w:widowControl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№ 2 </w:t>
            </w:r>
          </w:p>
          <w:p w:rsidR="00927612" w:rsidRDefault="0055477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:rsidR="00927612" w:rsidRDefault="00554772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31.01.2023 №117</w:t>
            </w:r>
          </w:p>
        </w:tc>
      </w:tr>
    </w:tbl>
    <w:p w:rsidR="00927612" w:rsidRDefault="00927612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27612" w:rsidRDefault="00554772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927612" w:rsidRDefault="00927612">
      <w:pPr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27612" w:rsidRDefault="00554772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Hlk98851063"/>
      <w:r>
        <w:rPr>
          <w:rFonts w:ascii="Times New Roman" w:eastAsia="Calibri" w:hAnsi="Times New Roman" w:cs="Times New Roman"/>
          <w:b/>
          <w:bCs/>
          <w:sz w:val="24"/>
          <w:szCs w:val="24"/>
        </w:rPr>
        <w:t>Виды и размеры</w:t>
      </w:r>
    </w:p>
    <w:p w:rsidR="00927612" w:rsidRDefault="00554772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персональных надбавок работникам МКУ «УКС и ЖКХ»</w:t>
      </w:r>
      <w:bookmarkEnd w:id="5"/>
    </w:p>
    <w:p w:rsidR="00927612" w:rsidRDefault="00927612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67"/>
        <w:gridCol w:w="1808"/>
      </w:tblGrid>
      <w:tr w:rsidR="00927612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988511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условия персональных надбавок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к окладу (должностному                                                        окладу), ставке заработной платы</w:t>
            </w:r>
          </w:p>
        </w:tc>
      </w:tr>
      <w:tr w:rsidR="00927612">
        <w:trPr>
          <w:trHeight w:val="345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сложность, напряженность и особый режим работы: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(директора)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сметчик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Смотритель кладбища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оперативный дежурный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7612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612" w:rsidRDefault="009276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12" w:rsidRDefault="0055477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12" w:rsidRDefault="0055477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  <w:bookmarkEnd w:id="6"/>
          </w:p>
        </w:tc>
      </w:tr>
    </w:tbl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p w:rsidR="00927612" w:rsidRDefault="00927612">
      <w:pPr>
        <w:rPr>
          <w:rFonts w:ascii="Times New Roman" w:eastAsia="Calibri" w:hAnsi="Times New Roman" w:cs="Times New Roman"/>
        </w:rPr>
      </w:pPr>
    </w:p>
    <w:sectPr w:rsidR="00927612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12" w:rsidRDefault="00554772">
      <w:pPr>
        <w:spacing w:after="0" w:line="240" w:lineRule="auto"/>
      </w:pPr>
      <w:r>
        <w:separator/>
      </w:r>
    </w:p>
  </w:endnote>
  <w:endnote w:type="continuationSeparator" w:id="0">
    <w:p w:rsidR="00927612" w:rsidRDefault="0055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12" w:rsidRDefault="00554772">
      <w:pPr>
        <w:spacing w:after="0" w:line="240" w:lineRule="auto"/>
      </w:pPr>
      <w:r>
        <w:separator/>
      </w:r>
    </w:p>
  </w:footnote>
  <w:footnote w:type="continuationSeparator" w:id="0">
    <w:p w:rsidR="00927612" w:rsidRDefault="0055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953"/>
    <w:multiLevelType w:val="multilevel"/>
    <w:tmpl w:val="3956F44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5C443DB"/>
    <w:multiLevelType w:val="hybridMultilevel"/>
    <w:tmpl w:val="AFFCDF26"/>
    <w:lvl w:ilvl="0" w:tplc="38A69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C2CC04">
      <w:start w:val="1"/>
      <w:numFmt w:val="lowerLetter"/>
      <w:lvlText w:val="%2."/>
      <w:lvlJc w:val="left"/>
      <w:pPr>
        <w:ind w:left="1789" w:hanging="360"/>
      </w:pPr>
    </w:lvl>
    <w:lvl w:ilvl="2" w:tplc="71240510">
      <w:start w:val="1"/>
      <w:numFmt w:val="lowerRoman"/>
      <w:lvlText w:val="%3."/>
      <w:lvlJc w:val="right"/>
      <w:pPr>
        <w:ind w:left="2509" w:hanging="180"/>
      </w:pPr>
    </w:lvl>
    <w:lvl w:ilvl="3" w:tplc="B1E63A26">
      <w:start w:val="1"/>
      <w:numFmt w:val="decimal"/>
      <w:lvlText w:val="%4."/>
      <w:lvlJc w:val="left"/>
      <w:pPr>
        <w:ind w:left="3229" w:hanging="360"/>
      </w:pPr>
    </w:lvl>
    <w:lvl w:ilvl="4" w:tplc="3EA24584">
      <w:start w:val="1"/>
      <w:numFmt w:val="lowerLetter"/>
      <w:lvlText w:val="%5."/>
      <w:lvlJc w:val="left"/>
      <w:pPr>
        <w:ind w:left="3949" w:hanging="360"/>
      </w:pPr>
    </w:lvl>
    <w:lvl w:ilvl="5" w:tplc="6804DB2C">
      <w:start w:val="1"/>
      <w:numFmt w:val="lowerRoman"/>
      <w:lvlText w:val="%6."/>
      <w:lvlJc w:val="right"/>
      <w:pPr>
        <w:ind w:left="4669" w:hanging="180"/>
      </w:pPr>
    </w:lvl>
    <w:lvl w:ilvl="6" w:tplc="D49CE278">
      <w:start w:val="1"/>
      <w:numFmt w:val="decimal"/>
      <w:lvlText w:val="%7."/>
      <w:lvlJc w:val="left"/>
      <w:pPr>
        <w:ind w:left="5389" w:hanging="360"/>
      </w:pPr>
    </w:lvl>
    <w:lvl w:ilvl="7" w:tplc="A1DC0846">
      <w:start w:val="1"/>
      <w:numFmt w:val="lowerLetter"/>
      <w:lvlText w:val="%8."/>
      <w:lvlJc w:val="left"/>
      <w:pPr>
        <w:ind w:left="6109" w:hanging="360"/>
      </w:pPr>
    </w:lvl>
    <w:lvl w:ilvl="8" w:tplc="A624542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81077A"/>
    <w:multiLevelType w:val="multilevel"/>
    <w:tmpl w:val="A07666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33964650"/>
    <w:multiLevelType w:val="hybridMultilevel"/>
    <w:tmpl w:val="3796FDA2"/>
    <w:lvl w:ilvl="0" w:tplc="E21853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148168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2D6C63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49268E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FFA8C6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B442A4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9C059A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DF2ADA9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DCA403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0779E6"/>
    <w:multiLevelType w:val="hybridMultilevel"/>
    <w:tmpl w:val="88628BD2"/>
    <w:lvl w:ilvl="0" w:tplc="5F8A94F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B494330C">
      <w:start w:val="1"/>
      <w:numFmt w:val="lowerLetter"/>
      <w:lvlText w:val="%2."/>
      <w:lvlJc w:val="left"/>
      <w:pPr>
        <w:ind w:left="1620" w:hanging="360"/>
      </w:pPr>
    </w:lvl>
    <w:lvl w:ilvl="2" w:tplc="A5FC3A8A">
      <w:start w:val="1"/>
      <w:numFmt w:val="lowerRoman"/>
      <w:lvlText w:val="%3."/>
      <w:lvlJc w:val="right"/>
      <w:pPr>
        <w:ind w:left="2340" w:hanging="180"/>
      </w:pPr>
    </w:lvl>
    <w:lvl w:ilvl="3" w:tplc="360A98BA">
      <w:start w:val="1"/>
      <w:numFmt w:val="decimal"/>
      <w:lvlText w:val="%4."/>
      <w:lvlJc w:val="left"/>
      <w:pPr>
        <w:ind w:left="3060" w:hanging="360"/>
      </w:pPr>
    </w:lvl>
    <w:lvl w:ilvl="4" w:tplc="AC301AEE">
      <w:start w:val="1"/>
      <w:numFmt w:val="lowerLetter"/>
      <w:lvlText w:val="%5."/>
      <w:lvlJc w:val="left"/>
      <w:pPr>
        <w:ind w:left="3780" w:hanging="360"/>
      </w:pPr>
    </w:lvl>
    <w:lvl w:ilvl="5" w:tplc="71484F9E">
      <w:start w:val="1"/>
      <w:numFmt w:val="lowerRoman"/>
      <w:lvlText w:val="%6."/>
      <w:lvlJc w:val="right"/>
      <w:pPr>
        <w:ind w:left="4500" w:hanging="180"/>
      </w:pPr>
    </w:lvl>
    <w:lvl w:ilvl="6" w:tplc="B3C2B72C">
      <w:start w:val="1"/>
      <w:numFmt w:val="decimal"/>
      <w:lvlText w:val="%7."/>
      <w:lvlJc w:val="left"/>
      <w:pPr>
        <w:ind w:left="5220" w:hanging="360"/>
      </w:pPr>
    </w:lvl>
    <w:lvl w:ilvl="7" w:tplc="9A040254">
      <w:start w:val="1"/>
      <w:numFmt w:val="lowerLetter"/>
      <w:lvlText w:val="%8."/>
      <w:lvlJc w:val="left"/>
      <w:pPr>
        <w:ind w:left="5940" w:hanging="360"/>
      </w:pPr>
    </w:lvl>
    <w:lvl w:ilvl="8" w:tplc="CF2094F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976B42"/>
    <w:multiLevelType w:val="hybridMultilevel"/>
    <w:tmpl w:val="3B6C1792"/>
    <w:lvl w:ilvl="0" w:tplc="B16021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7D459A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61ED5A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FB68778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90EC3B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29673F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25E673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490FCB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B601F92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BA088A"/>
    <w:multiLevelType w:val="multilevel"/>
    <w:tmpl w:val="D50A6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0F36FDA"/>
    <w:multiLevelType w:val="multilevel"/>
    <w:tmpl w:val="CB88C8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5092AA9"/>
    <w:multiLevelType w:val="hybridMultilevel"/>
    <w:tmpl w:val="A030D624"/>
    <w:lvl w:ilvl="0" w:tplc="D26E4A6A">
      <w:start w:val="1"/>
      <w:numFmt w:val="decimal"/>
      <w:lvlText w:val="%1."/>
      <w:lvlJc w:val="left"/>
      <w:pPr>
        <w:ind w:left="1429" w:hanging="360"/>
      </w:pPr>
    </w:lvl>
    <w:lvl w:ilvl="1" w:tplc="3FE6E0FA">
      <w:start w:val="1"/>
      <w:numFmt w:val="lowerLetter"/>
      <w:lvlText w:val="%2."/>
      <w:lvlJc w:val="left"/>
      <w:pPr>
        <w:ind w:left="2149" w:hanging="360"/>
      </w:pPr>
    </w:lvl>
    <w:lvl w:ilvl="2" w:tplc="8604B1CA">
      <w:start w:val="1"/>
      <w:numFmt w:val="lowerRoman"/>
      <w:lvlText w:val="%3."/>
      <w:lvlJc w:val="right"/>
      <w:pPr>
        <w:ind w:left="2869" w:hanging="180"/>
      </w:pPr>
    </w:lvl>
    <w:lvl w:ilvl="3" w:tplc="0C685464">
      <w:start w:val="1"/>
      <w:numFmt w:val="decimal"/>
      <w:lvlText w:val="%4."/>
      <w:lvlJc w:val="left"/>
      <w:pPr>
        <w:ind w:left="3589" w:hanging="360"/>
      </w:pPr>
    </w:lvl>
    <w:lvl w:ilvl="4" w:tplc="FE06C2B4">
      <w:start w:val="1"/>
      <w:numFmt w:val="lowerLetter"/>
      <w:lvlText w:val="%5."/>
      <w:lvlJc w:val="left"/>
      <w:pPr>
        <w:ind w:left="4309" w:hanging="360"/>
      </w:pPr>
    </w:lvl>
    <w:lvl w:ilvl="5" w:tplc="0D0CC626">
      <w:start w:val="1"/>
      <w:numFmt w:val="lowerRoman"/>
      <w:lvlText w:val="%6."/>
      <w:lvlJc w:val="right"/>
      <w:pPr>
        <w:ind w:left="5029" w:hanging="180"/>
      </w:pPr>
    </w:lvl>
    <w:lvl w:ilvl="6" w:tplc="4A0E7B18">
      <w:start w:val="1"/>
      <w:numFmt w:val="decimal"/>
      <w:lvlText w:val="%7."/>
      <w:lvlJc w:val="left"/>
      <w:pPr>
        <w:ind w:left="5749" w:hanging="360"/>
      </w:pPr>
    </w:lvl>
    <w:lvl w:ilvl="7" w:tplc="BD54CD56">
      <w:start w:val="1"/>
      <w:numFmt w:val="lowerLetter"/>
      <w:lvlText w:val="%8."/>
      <w:lvlJc w:val="left"/>
      <w:pPr>
        <w:ind w:left="6469" w:hanging="360"/>
      </w:pPr>
    </w:lvl>
    <w:lvl w:ilvl="8" w:tplc="E0DE272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58701B2"/>
    <w:multiLevelType w:val="hybridMultilevel"/>
    <w:tmpl w:val="6C208502"/>
    <w:lvl w:ilvl="0" w:tplc="294CB26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DCE2A26">
      <w:start w:val="1"/>
      <w:numFmt w:val="lowerLetter"/>
      <w:lvlText w:val="%2."/>
      <w:lvlJc w:val="left"/>
      <w:pPr>
        <w:ind w:left="1788" w:hanging="360"/>
      </w:pPr>
    </w:lvl>
    <w:lvl w:ilvl="2" w:tplc="6696F17C">
      <w:start w:val="1"/>
      <w:numFmt w:val="lowerRoman"/>
      <w:lvlText w:val="%3."/>
      <w:lvlJc w:val="right"/>
      <w:pPr>
        <w:ind w:left="2508" w:hanging="180"/>
      </w:pPr>
    </w:lvl>
    <w:lvl w:ilvl="3" w:tplc="E1425546">
      <w:start w:val="1"/>
      <w:numFmt w:val="decimal"/>
      <w:lvlText w:val="%4."/>
      <w:lvlJc w:val="left"/>
      <w:pPr>
        <w:ind w:left="3228" w:hanging="360"/>
      </w:pPr>
    </w:lvl>
    <w:lvl w:ilvl="4" w:tplc="B59C9A42">
      <w:start w:val="1"/>
      <w:numFmt w:val="lowerLetter"/>
      <w:lvlText w:val="%5."/>
      <w:lvlJc w:val="left"/>
      <w:pPr>
        <w:ind w:left="3948" w:hanging="360"/>
      </w:pPr>
    </w:lvl>
    <w:lvl w:ilvl="5" w:tplc="45D80306">
      <w:start w:val="1"/>
      <w:numFmt w:val="lowerRoman"/>
      <w:lvlText w:val="%6."/>
      <w:lvlJc w:val="right"/>
      <w:pPr>
        <w:ind w:left="4668" w:hanging="180"/>
      </w:pPr>
    </w:lvl>
    <w:lvl w:ilvl="6" w:tplc="6CE8767A">
      <w:start w:val="1"/>
      <w:numFmt w:val="decimal"/>
      <w:lvlText w:val="%7."/>
      <w:lvlJc w:val="left"/>
      <w:pPr>
        <w:ind w:left="5388" w:hanging="360"/>
      </w:pPr>
    </w:lvl>
    <w:lvl w:ilvl="7" w:tplc="BABE9524">
      <w:start w:val="1"/>
      <w:numFmt w:val="lowerLetter"/>
      <w:lvlText w:val="%8."/>
      <w:lvlJc w:val="left"/>
      <w:pPr>
        <w:ind w:left="6108" w:hanging="360"/>
      </w:pPr>
    </w:lvl>
    <w:lvl w:ilvl="8" w:tplc="28129D4C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F0E"/>
    <w:multiLevelType w:val="multilevel"/>
    <w:tmpl w:val="C6F64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9544DCD"/>
    <w:multiLevelType w:val="hybridMultilevel"/>
    <w:tmpl w:val="132E3CE6"/>
    <w:lvl w:ilvl="0" w:tplc="CA1E6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41A32">
      <w:start w:val="1"/>
      <w:numFmt w:val="lowerLetter"/>
      <w:lvlText w:val="%2."/>
      <w:lvlJc w:val="left"/>
      <w:pPr>
        <w:ind w:left="1440" w:hanging="360"/>
      </w:pPr>
    </w:lvl>
    <w:lvl w:ilvl="2" w:tplc="758C110C">
      <w:start w:val="1"/>
      <w:numFmt w:val="lowerRoman"/>
      <w:lvlText w:val="%3."/>
      <w:lvlJc w:val="right"/>
      <w:pPr>
        <w:ind w:left="2160" w:hanging="180"/>
      </w:pPr>
    </w:lvl>
    <w:lvl w:ilvl="3" w:tplc="5B728D18">
      <w:start w:val="1"/>
      <w:numFmt w:val="decimal"/>
      <w:lvlText w:val="%4."/>
      <w:lvlJc w:val="left"/>
      <w:pPr>
        <w:ind w:left="2880" w:hanging="360"/>
      </w:pPr>
    </w:lvl>
    <w:lvl w:ilvl="4" w:tplc="7106781C">
      <w:start w:val="1"/>
      <w:numFmt w:val="lowerLetter"/>
      <w:lvlText w:val="%5."/>
      <w:lvlJc w:val="left"/>
      <w:pPr>
        <w:ind w:left="3600" w:hanging="360"/>
      </w:pPr>
    </w:lvl>
    <w:lvl w:ilvl="5" w:tplc="2D465416">
      <w:start w:val="1"/>
      <w:numFmt w:val="lowerRoman"/>
      <w:lvlText w:val="%6."/>
      <w:lvlJc w:val="right"/>
      <w:pPr>
        <w:ind w:left="4320" w:hanging="180"/>
      </w:pPr>
    </w:lvl>
    <w:lvl w:ilvl="6" w:tplc="545A76F2">
      <w:start w:val="1"/>
      <w:numFmt w:val="decimal"/>
      <w:lvlText w:val="%7."/>
      <w:lvlJc w:val="left"/>
      <w:pPr>
        <w:ind w:left="5040" w:hanging="360"/>
      </w:pPr>
    </w:lvl>
    <w:lvl w:ilvl="7" w:tplc="C178AC22">
      <w:start w:val="1"/>
      <w:numFmt w:val="lowerLetter"/>
      <w:lvlText w:val="%8."/>
      <w:lvlJc w:val="left"/>
      <w:pPr>
        <w:ind w:left="5760" w:hanging="360"/>
      </w:pPr>
    </w:lvl>
    <w:lvl w:ilvl="8" w:tplc="2C5ACC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F23C7"/>
    <w:multiLevelType w:val="multilevel"/>
    <w:tmpl w:val="9EE06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C8A6E39"/>
    <w:multiLevelType w:val="hybridMultilevel"/>
    <w:tmpl w:val="8F1E1DA6"/>
    <w:lvl w:ilvl="0" w:tplc="BCA24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3D65A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62F1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3E2B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5493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299D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D096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3EC6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0AD9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CB0DF8"/>
    <w:multiLevelType w:val="multilevel"/>
    <w:tmpl w:val="CB865A4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773F0508"/>
    <w:multiLevelType w:val="hybridMultilevel"/>
    <w:tmpl w:val="7A7C6FEC"/>
    <w:lvl w:ilvl="0" w:tplc="28BE63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6BF06FF6">
      <w:start w:val="1"/>
      <w:numFmt w:val="lowerLetter"/>
      <w:lvlText w:val="%2."/>
      <w:lvlJc w:val="left"/>
      <w:pPr>
        <w:ind w:left="1620" w:hanging="360"/>
      </w:pPr>
    </w:lvl>
    <w:lvl w:ilvl="2" w:tplc="9B4AECA2">
      <w:start w:val="1"/>
      <w:numFmt w:val="lowerRoman"/>
      <w:lvlText w:val="%3."/>
      <w:lvlJc w:val="right"/>
      <w:pPr>
        <w:ind w:left="2340" w:hanging="180"/>
      </w:pPr>
    </w:lvl>
    <w:lvl w:ilvl="3" w:tplc="A012794A">
      <w:start w:val="1"/>
      <w:numFmt w:val="decimal"/>
      <w:lvlText w:val="%4."/>
      <w:lvlJc w:val="left"/>
      <w:pPr>
        <w:ind w:left="3060" w:hanging="360"/>
      </w:pPr>
    </w:lvl>
    <w:lvl w:ilvl="4" w:tplc="AEAC95A6">
      <w:start w:val="1"/>
      <w:numFmt w:val="lowerLetter"/>
      <w:lvlText w:val="%5."/>
      <w:lvlJc w:val="left"/>
      <w:pPr>
        <w:ind w:left="3780" w:hanging="360"/>
      </w:pPr>
    </w:lvl>
    <w:lvl w:ilvl="5" w:tplc="946C6E5C">
      <w:start w:val="1"/>
      <w:numFmt w:val="lowerRoman"/>
      <w:lvlText w:val="%6."/>
      <w:lvlJc w:val="right"/>
      <w:pPr>
        <w:ind w:left="4500" w:hanging="180"/>
      </w:pPr>
    </w:lvl>
    <w:lvl w:ilvl="6" w:tplc="4114F84E">
      <w:start w:val="1"/>
      <w:numFmt w:val="decimal"/>
      <w:lvlText w:val="%7."/>
      <w:lvlJc w:val="left"/>
      <w:pPr>
        <w:ind w:left="5220" w:hanging="360"/>
      </w:pPr>
    </w:lvl>
    <w:lvl w:ilvl="7" w:tplc="4DBCA01C">
      <w:start w:val="1"/>
      <w:numFmt w:val="lowerLetter"/>
      <w:lvlText w:val="%8."/>
      <w:lvlJc w:val="left"/>
      <w:pPr>
        <w:ind w:left="5940" w:hanging="360"/>
      </w:pPr>
    </w:lvl>
    <w:lvl w:ilvl="8" w:tplc="EF16AEF0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BE71B00"/>
    <w:multiLevelType w:val="hybridMultilevel"/>
    <w:tmpl w:val="F536A264"/>
    <w:lvl w:ilvl="0" w:tplc="7C9E2D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10E9FC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E261FB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942A0E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EA068B1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6B49DEC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B7EC55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2CCCD5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4CC956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12"/>
    <w:rsid w:val="00554772"/>
    <w:rsid w:val="0092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11C1-1675-408C-B8DF-C81AEAF1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3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6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3">
    <w:name w:val="Основной текст (3)_"/>
    <w:basedOn w:val="a0"/>
    <w:link w:val="34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3">
    <w:name w:val="Основной текст (4)_"/>
    <w:basedOn w:val="a0"/>
    <w:link w:val="44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3">
    <w:name w:val="Основной текст (5)_"/>
    <w:basedOn w:val="a0"/>
    <w:link w:val="54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2">
    <w:name w:val="Основной текст (6)_"/>
    <w:basedOn w:val="a0"/>
    <w:link w:val="63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2">
    <w:name w:val="Основной текст (8)_"/>
    <w:basedOn w:val="a0"/>
    <w:link w:val="83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2">
    <w:name w:val="Основной текст (7)_"/>
    <w:basedOn w:val="a0"/>
    <w:link w:val="73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0">
    <w:name w:val="Основной текст (12)_"/>
    <w:basedOn w:val="a0"/>
    <w:link w:val="121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2">
    <w:name w:val="Основной текст (9)_"/>
    <w:basedOn w:val="a0"/>
    <w:link w:val="93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0">
    <w:name w:val="Основной текст (13)_"/>
    <w:basedOn w:val="a0"/>
    <w:link w:val="131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0">
    <w:name w:val="Основной текст (23)_"/>
    <w:basedOn w:val="a0"/>
    <w:link w:val="231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0">
    <w:name w:val="Основной текст (24)_"/>
    <w:basedOn w:val="a0"/>
    <w:link w:val="241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0">
    <w:name w:val="Основной текст (22)_"/>
    <w:basedOn w:val="a0"/>
    <w:link w:val="221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f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</w:style>
  <w:style w:type="table" w:customStyle="1" w:styleId="17">
    <w:name w:val="Сетка таблицы1"/>
    <w:basedOn w:val="a1"/>
    <w:next w:val="af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pPr>
      <w:ind w:left="720"/>
    </w:pPr>
    <w:rPr>
      <w:rFonts w:ascii="Calibri" w:eastAsia="Times New Roman" w:hAnsi="Calibri" w:cs="Times New Roman"/>
    </w:rPr>
  </w:style>
  <w:style w:type="table" w:customStyle="1" w:styleId="26">
    <w:name w:val="Сетка таблицы2"/>
    <w:basedOn w:val="a1"/>
    <w:next w:val="af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customStyle="1" w:styleId="45">
    <w:name w:val="Сетка таблицы4"/>
    <w:basedOn w:val="a1"/>
    <w:next w:val="af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3"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8C624C5B07CF482728C4B4833F68F94445E5772C8803C0D861FD308A9DCBF978B496D27A992169A55360ZEKD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1CD4-C410-47E4-9AD0-492BF29B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user</cp:lastModifiedBy>
  <cp:revision>2</cp:revision>
  <dcterms:created xsi:type="dcterms:W3CDTF">2023-02-01T07:10:00Z</dcterms:created>
  <dcterms:modified xsi:type="dcterms:W3CDTF">2023-02-01T07:10:00Z</dcterms:modified>
</cp:coreProperties>
</file>