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812"/>
        <w:gridCol w:w="3692"/>
        <w:gridCol w:w="319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2"/>
            </w:pPr>
            <w:r/>
            <w:r/>
          </w:p>
          <w:p>
            <w:pPr>
              <w:pStyle w:val="70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  <w:ind w:left="-113"/>
            </w:pPr>
            <w:r>
              <w:t xml:space="preserve">22 марта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</w:t>
            </w:r>
            <w:r>
              <w:t xml:space="preserve"> № 421</w:t>
            </w:r>
            <w:r/>
          </w:p>
          <w:p>
            <w:pPr>
              <w:pStyle w:val="672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12" w:type="dxa"/>
            <w:vAlign w:val="top"/>
            <w:textDirection w:val="lrTb"/>
            <w:noWrap w:val="false"/>
          </w:tcPr>
          <w:p>
            <w:pPr>
              <w:pStyle w:val="672"/>
              <w:ind w:right="848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 внесении изменений в постановление администрации города </w:t>
            </w:r>
            <w:r>
              <w:rPr>
                <w:sz w:val="22"/>
                <w:szCs w:val="22"/>
              </w:rPr>
              <w:t xml:space="preserve">от 12.11.2009 № 1209 «О комиссии по формированию и подготовке резерва управленческих кадров г. Сосновоборска»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2" w:type="dxa"/>
            <w:vAlign w:val="top"/>
            <w:textDirection w:val="lrTb"/>
            <w:noWrap w:val="false"/>
          </w:tcPr>
          <w:p>
            <w:pPr>
              <w:pStyle w:val="672"/>
              <w:ind w:right="848" w:firstLine="142"/>
              <w:jc w:val="center"/>
            </w:pPr>
            <w:r/>
            <w:r/>
          </w:p>
        </w:tc>
      </w:tr>
    </w:tbl>
    <w:p>
      <w:pPr>
        <w:pStyle w:val="691"/>
        <w:ind w:right="848" w:firstLine="142"/>
        <w:jc w:val="both"/>
        <w:spacing w:after="0"/>
        <w:tabs>
          <w:tab w:val="left" w:pos="1134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672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2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целях совершенствования системы муниципального управления, эффективного использования резерва управленческих кадров, в соответствии со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"consultantplus://offline/ref=AE41DE66A9517B6CA554F0CF23E560C4C65E28175BCAE02FCE52563EA738CE7E2C5162F09AF275A9x34FB"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статьей 33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в связи с организационно-штатными и кадровыми изменениями, руководствуясь ст.ст.26,38 Устава города Сосновоборска Красноярского края,</w:t>
      </w:r>
      <w:r/>
    </w:p>
    <w:p>
      <w:pPr>
        <w:pStyle w:val="672"/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72"/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8"/>
        <w:numPr>
          <w:ilvl w:val="0"/>
          <w:numId w:val="39"/>
        </w:numPr>
        <w:ind w:left="0" w:firstLine="567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изменени</w:t>
      </w:r>
      <w:r>
        <w:rPr>
          <w:sz w:val="26"/>
          <w:szCs w:val="26"/>
        </w:rPr>
        <w:t xml:space="preserve">е в постановление администрации города от 12.11.2009 № 1209 «О комиссии по формированию и подготовке резерва управленческих кадров г. Сосновоборска», изложив приложение 1 к названному постановлению в редакции согласно приложению к настоящему постановлению.</w:t>
      </w:r>
      <w:r/>
    </w:p>
    <w:p>
      <w:pPr>
        <w:pStyle w:val="688"/>
        <w:numPr>
          <w:ilvl w:val="0"/>
          <w:numId w:val="39"/>
        </w:numPr>
        <w:ind w:left="0" w:firstLine="567"/>
        <w:jc w:val="both"/>
        <w:widowControl w:val="off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от 21.12.2017 № 1679 «</w:t>
      </w:r>
      <w:r>
        <w:rPr>
          <w:rFonts w:eastAsia="Calibri"/>
          <w:sz w:val="26"/>
          <w:szCs w:val="26"/>
        </w:rPr>
        <w:t xml:space="preserve">Об утверждении Порядка </w:t>
      </w:r>
      <w:r>
        <w:rPr>
          <w:sz w:val="26"/>
          <w:szCs w:val="26"/>
        </w:rPr>
        <w:t xml:space="preserve">работы с резервом управленческих кадров города Сосновоборска и о внесе</w:t>
      </w:r>
      <w:r>
        <w:rPr>
          <w:sz w:val="26"/>
          <w:szCs w:val="26"/>
        </w:rPr>
        <w:t xml:space="preserve">нии изменений в постановление администрации города от 12.11.2009 № 1209 «О комиссии по формированию и подготовке резерва управленческих кадров г. Сосновоборска» следующее изменение: признать утратившими силу пункт 2 и приложение 2 названного постановления.</w:t>
      </w:r>
      <w:r/>
    </w:p>
    <w:p>
      <w:pPr>
        <w:pStyle w:val="688"/>
        <w:numPr>
          <w:ilvl w:val="0"/>
          <w:numId w:val="39"/>
        </w:numPr>
        <w:ind w:left="0" w:firstLine="567"/>
        <w:jc w:val="both"/>
        <w:widowControl w:val="off"/>
        <w:tabs>
          <w:tab w:val="left" w:pos="1134" w:leader="none"/>
        </w:tabs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 и</w:t>
      </w:r>
      <w:r>
        <w:rPr>
          <w:rFonts w:eastAsia="Calibri"/>
          <w:sz w:val="26"/>
          <w:szCs w:val="26"/>
        </w:rPr>
        <w:t xml:space="preserve"> подлежит размещению на официальном сайте администрации города.</w:t>
      </w:r>
      <w:r>
        <w:rPr>
          <w:sz w:val="26"/>
          <w:szCs w:val="26"/>
        </w:rPr>
      </w:r>
      <w:r/>
    </w:p>
    <w:p>
      <w:pPr>
        <w:pStyle w:val="672"/>
        <w:numPr>
          <w:ilvl w:val="0"/>
          <w:numId w:val="3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72"/>
        <w:ind w:firstLine="567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ind w:firstLine="56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ind w:firstLine="56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вы</w:t>
      </w:r>
      <w:r>
        <w:rPr>
          <w:sz w:val="26"/>
          <w:szCs w:val="26"/>
        </w:rPr>
        <w:t xml:space="preserve"> города Сосновоборска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Д.В. Иванов</w:t>
      </w:r>
      <w:r>
        <w:rPr>
          <w:sz w:val="26"/>
          <w:szCs w:val="26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jc w:val="right"/>
        <w:outlineLvl w:val="0"/>
      </w:pPr>
      <w:r>
        <w:t xml:space="preserve">Приложение</w:t>
      </w:r>
      <w:r>
        <w:t xml:space="preserve"> 1</w:t>
      </w:r>
      <w:r>
        <w:t xml:space="preserve"> </w:t>
      </w:r>
      <w:r/>
    </w:p>
    <w:p>
      <w:pPr>
        <w:pStyle w:val="693"/>
        <w:jc w:val="right"/>
        <w:outlineLvl w:val="0"/>
      </w:pPr>
      <w:r>
        <w:t xml:space="preserve">к постановлению администрации города</w:t>
      </w:r>
      <w:r/>
    </w:p>
    <w:p>
      <w:pPr>
        <w:pStyle w:val="672"/>
        <w:jc w:val="right"/>
        <w:widowControl w:val="off"/>
        <w:tabs>
          <w:tab w:val="left" w:pos="8527" w:leader="none"/>
        </w:tabs>
      </w:pPr>
      <w:r>
        <w:t xml:space="preserve">от 22 </w:t>
      </w:r>
      <w:r>
        <w:t xml:space="preserve">марта</w:t>
      </w:r>
      <w:r>
        <w:t xml:space="preserve"> </w:t>
      </w:r>
      <w:r>
        <w:t xml:space="preserve">2023 г. </w:t>
      </w:r>
      <w:r>
        <w:t xml:space="preserve">№</w:t>
      </w:r>
      <w:r>
        <w:t xml:space="preserve"> 421</w:t>
      </w:r>
      <w:r/>
    </w:p>
    <w:p>
      <w:pPr>
        <w:pStyle w:val="672"/>
        <w:jc w:val="both"/>
        <w:widowControl w:val="off"/>
      </w:pPr>
      <w:r/>
      <w:r/>
    </w:p>
    <w:p>
      <w:pPr>
        <w:pStyle w:val="693"/>
        <w:jc w:val="right"/>
        <w:outlineLvl w:val="0"/>
      </w:pPr>
      <w:r>
        <w:tab/>
        <w:t xml:space="preserve">«Приложение 1 </w:t>
      </w:r>
      <w:r/>
    </w:p>
    <w:p>
      <w:pPr>
        <w:pStyle w:val="693"/>
        <w:jc w:val="right"/>
        <w:outlineLvl w:val="0"/>
      </w:pPr>
      <w:r>
        <w:t xml:space="preserve">к постановлению администрации города</w:t>
      </w:r>
      <w:r/>
    </w:p>
    <w:p>
      <w:pPr>
        <w:pStyle w:val="693"/>
        <w:jc w:val="right"/>
      </w:pPr>
      <w:r>
        <w:t xml:space="preserve">от 12 ноября 2009 №</w:t>
      </w:r>
      <w:r>
        <w:t xml:space="preserve"> </w:t>
      </w:r>
      <w:r>
        <w:t xml:space="preserve">1209</w:t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</w:t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</w:t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КАДРОВ ГОРОДА СОСНОВОБОРСКА </w:t>
      </w:r>
      <w:r/>
    </w:p>
    <w:p>
      <w:pPr>
        <w:pStyle w:val="69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8"/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  Кожемякин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города по       общественно-политической работе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</w:r>
      <w:r/>
    </w:p>
    <w:p>
      <w:pPr>
        <w:pStyle w:val="698"/>
        <w:ind w:left="4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Качаева Е.Ю.</w:t>
      </w:r>
      <w:r>
        <w:rPr>
          <w:rFonts w:ascii="Times New Roman" w:hAnsi="Times New Roman" w:cs="Times New Roman"/>
          <w:sz w:val="28"/>
          <w:szCs w:val="28"/>
        </w:rPr>
        <w:t xml:space="preserve">  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делами и кадрами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</w:t>
        <w:tab/>
        <w:tab/>
        <w:tab/>
        <w:tab/>
        <w:t xml:space="preserve">администрации города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Сергеева В.А.     –  главный специалист по кадрам и </w:t>
      </w:r>
      <w:r/>
    </w:p>
    <w:p>
      <w:pPr>
        <w:pStyle w:val="698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делами и </w:t>
      </w:r>
      <w:r>
        <w:rPr>
          <w:rFonts w:ascii="Times New Roman" w:hAnsi="Times New Roman" w:cs="Times New Roman"/>
          <w:sz w:val="28"/>
          <w:szCs w:val="28"/>
        </w:rPr>
        <w:t xml:space="preserve">кадрами администрации  города</w:t>
        <w:br w:type="textWrapping" w:clear="all"/>
        <w:t xml:space="preserve">                                                           </w:t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Члены комиссии:</w:t>
      </w:r>
      <w:r/>
    </w:p>
    <w:p>
      <w:pPr>
        <w:pStyle w:val="698"/>
        <w:tabs>
          <w:tab w:val="left" w:pos="255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8"/>
        <w:tabs>
          <w:tab w:val="left" w:pos="255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жизнеобеспечения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Е.О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Главы города по социальным вопросам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Винокурова И.В.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директор КГК</w:t>
      </w:r>
      <w:r>
        <w:rPr>
          <w:rFonts w:ascii="Times New Roman" w:hAnsi="Times New Roman" w:cs="Times New Roman"/>
          <w:sz w:val="28"/>
          <w:szCs w:val="28"/>
        </w:rPr>
        <w:t xml:space="preserve">У «ЦЗН г. Сосновоборска»</w:t>
      </w:r>
      <w:r>
        <w:rPr>
          <w:rFonts w:ascii="Times New Roman" w:hAnsi="Times New Roman" w:cs="Times New Roman"/>
          <w:sz w:val="28"/>
          <w:szCs w:val="28"/>
        </w:rPr>
        <w:t xml:space="preserve"> (по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согласованию)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лисее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города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В.А.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 xml:space="preserve">        труда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согласованию)</w:t>
      </w:r>
      <w:r/>
    </w:p>
    <w:p>
      <w:pPr>
        <w:pStyle w:val="698"/>
        <w:ind w:left="2415" w:hanging="24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Кривулин А.В.</w:t>
        <w:tab/>
        <w:t xml:space="preserve">    – директор  КГБПОУ «Сосновоборский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механико-       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техникум» (по согласованию)</w:t>
      </w:r>
      <w:r/>
    </w:p>
    <w:p>
      <w:pPr>
        <w:pStyle w:val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 xml:space="preserve">       </w:t>
        <w:tab/>
        <w:tab/>
        <w:tab/>
        <w:tab/>
        <w:t xml:space="preserve">       </w:t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jc w:val="both"/>
        <w:widowControl w:val="off"/>
        <w:tabs>
          <w:tab w:val="left" w:pos="8186" w:leader="none"/>
        </w:tabs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672"/>
        <w:jc w:val="both"/>
        <w:widowControl w:val="off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6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0"/>
      <w:isLgl w:val="false"/>
      <w:suff w:val="tab"/>
      <w:lvlText w:val=""/>
      <w:lvlJc w:val="left"/>
      <w:pPr>
        <w:pStyle w:val="67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2226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520" w:hanging="216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57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3"/>
  </w:num>
  <w:num w:numId="5">
    <w:abstractNumId w:val="16"/>
  </w:num>
  <w:num w:numId="6">
    <w:abstractNumId w:val="3"/>
  </w:num>
  <w:num w:numId="7">
    <w:abstractNumId w:val="19"/>
  </w:num>
  <w:num w:numId="8">
    <w:abstractNumId w:val="35"/>
  </w:num>
  <w:num w:numId="9">
    <w:abstractNumId w:val="23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8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2"/>
  </w:num>
  <w:num w:numId="25">
    <w:abstractNumId w:val="3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rPr>
      <w:sz w:val="24"/>
      <w:szCs w:val="24"/>
      <w:lang w:val="ru-RU" w:eastAsia="ru-RU" w:bidi="ar-SA"/>
    </w:rPr>
  </w:style>
  <w:style w:type="paragraph" w:styleId="673">
    <w:name w:val="Заголовок 1"/>
    <w:basedOn w:val="672"/>
    <w:next w:val="672"/>
    <w:link w:val="709"/>
    <w:qFormat/>
    <w:pPr>
      <w:jc w:val="center"/>
      <w:keepNext/>
      <w:outlineLvl w:val="0"/>
    </w:pPr>
    <w:rPr>
      <w:b/>
      <w:sz w:val="22"/>
      <w:szCs w:val="20"/>
    </w:rPr>
  </w:style>
  <w:style w:type="paragraph" w:styleId="674">
    <w:name w:val="Заголовок 2"/>
    <w:basedOn w:val="672"/>
    <w:next w:val="672"/>
    <w:link w:val="71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5">
    <w:name w:val="Заголовок 3"/>
    <w:basedOn w:val="672"/>
    <w:next w:val="672"/>
    <w:link w:val="69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6">
    <w:name w:val="Заголовок 4"/>
    <w:basedOn w:val="672"/>
    <w:next w:val="672"/>
    <w:link w:val="72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7">
    <w:name w:val="Заголовок 5"/>
    <w:basedOn w:val="672"/>
    <w:next w:val="672"/>
    <w:link w:val="72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8">
    <w:name w:val="Заголовок 6"/>
    <w:basedOn w:val="672"/>
    <w:next w:val="672"/>
    <w:link w:val="73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9">
    <w:name w:val="Заголовок 7"/>
    <w:basedOn w:val="672"/>
    <w:next w:val="672"/>
    <w:link w:val="73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0">
    <w:name w:val="Заголовок 8"/>
    <w:basedOn w:val="672"/>
    <w:next w:val="672"/>
    <w:link w:val="73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1">
    <w:name w:val="Заголовок 9"/>
    <w:basedOn w:val="672"/>
    <w:next w:val="672"/>
    <w:link w:val="73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2">
    <w:name w:val="Основной шрифт абзаца"/>
    <w:next w:val="682"/>
    <w:link w:val="672"/>
    <w:semiHidden/>
  </w:style>
  <w:style w:type="table" w:styleId="683">
    <w:name w:val="Обычная таблица"/>
    <w:next w:val="683"/>
    <w:link w:val="672"/>
    <w:semiHidden/>
    <w:tblPr/>
  </w:style>
  <w:style w:type="numbering" w:styleId="684">
    <w:name w:val="Нет списка"/>
    <w:next w:val="684"/>
    <w:link w:val="672"/>
    <w:uiPriority w:val="99"/>
    <w:semiHidden/>
  </w:style>
  <w:style w:type="table" w:styleId="685">
    <w:name w:val="Сетка таблицы"/>
    <w:basedOn w:val="683"/>
    <w:next w:val="685"/>
    <w:link w:val="672"/>
    <w:tblPr/>
  </w:style>
  <w:style w:type="character" w:styleId="686">
    <w:name w:val="Гиперссылка"/>
    <w:next w:val="686"/>
    <w:link w:val="672"/>
    <w:uiPriority w:val="99"/>
    <w:rPr>
      <w:color w:val="0000ff"/>
      <w:u w:val="single"/>
    </w:rPr>
  </w:style>
  <w:style w:type="paragraph" w:styleId="687">
    <w:name w:val="Текст выноски"/>
    <w:basedOn w:val="672"/>
    <w:next w:val="687"/>
    <w:link w:val="723"/>
    <w:uiPriority w:val="99"/>
    <w:semiHidden/>
    <w:rPr>
      <w:rFonts w:ascii="Tahoma" w:hAnsi="Tahoma" w:cs="Tahoma"/>
      <w:sz w:val="16"/>
      <w:szCs w:val="16"/>
    </w:rPr>
  </w:style>
  <w:style w:type="paragraph" w:styleId="688">
    <w:name w:val="Абзац списка,мой"/>
    <w:basedOn w:val="672"/>
    <w:next w:val="688"/>
    <w:link w:val="778"/>
    <w:uiPriority w:val="34"/>
    <w:qFormat/>
    <w:pPr>
      <w:contextualSpacing/>
      <w:ind w:left="720"/>
    </w:pPr>
  </w:style>
  <w:style w:type="paragraph" w:styleId="689">
    <w:name w:val="Основной текст с отступом"/>
    <w:basedOn w:val="672"/>
    <w:next w:val="689"/>
    <w:link w:val="690"/>
    <w:uiPriority w:val="99"/>
    <w:unhideWhenUsed/>
    <w:pPr>
      <w:ind w:firstLine="708"/>
      <w:jc w:val="both"/>
    </w:pPr>
    <w:rPr>
      <w:lang w:val="en-US" w:eastAsia="en-US"/>
    </w:rPr>
  </w:style>
  <w:style w:type="character" w:styleId="690">
    <w:name w:val="Основной текст с отступом Знак"/>
    <w:next w:val="690"/>
    <w:link w:val="689"/>
    <w:uiPriority w:val="99"/>
    <w:rPr>
      <w:sz w:val="24"/>
      <w:szCs w:val="24"/>
      <w:lang w:val="en-US" w:eastAsia="en-US"/>
    </w:rPr>
  </w:style>
  <w:style w:type="paragraph" w:styleId="691">
    <w:name w:val="Основной текст"/>
    <w:basedOn w:val="672"/>
    <w:next w:val="691"/>
    <w:link w:val="692"/>
    <w:uiPriority w:val="99"/>
    <w:unhideWhenUsed/>
    <w:pPr>
      <w:spacing w:after="120"/>
    </w:pPr>
    <w:rPr>
      <w:lang w:val="en-US" w:eastAsia="en-US"/>
    </w:rPr>
  </w:style>
  <w:style w:type="character" w:styleId="692">
    <w:name w:val="Основной текст Знак"/>
    <w:next w:val="692"/>
    <w:link w:val="691"/>
    <w:uiPriority w:val="99"/>
    <w:rPr>
      <w:sz w:val="24"/>
      <w:szCs w:val="24"/>
    </w:rPr>
  </w:style>
  <w:style w:type="paragraph" w:styleId="693">
    <w:name w:val="ConsPlusNormal"/>
    <w:next w:val="693"/>
    <w:link w:val="700"/>
    <w:rPr>
      <w:sz w:val="24"/>
      <w:szCs w:val="24"/>
      <w:lang w:val="ru-RU" w:eastAsia="ru-RU" w:bidi="ar-SA"/>
    </w:rPr>
  </w:style>
  <w:style w:type="character" w:styleId="694">
    <w:name w:val="Основной текст_"/>
    <w:next w:val="694"/>
    <w:link w:val="695"/>
    <w:rPr>
      <w:sz w:val="27"/>
      <w:szCs w:val="27"/>
      <w:shd w:val="clear" w:color="auto" w:fill="ffffff"/>
    </w:rPr>
  </w:style>
  <w:style w:type="paragraph" w:styleId="695">
    <w:name w:val="Основной текст1"/>
    <w:basedOn w:val="672"/>
    <w:next w:val="695"/>
    <w:link w:val="69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6">
    <w:name w:val="ConsPlusCell"/>
    <w:next w:val="696"/>
    <w:link w:val="672"/>
    <w:pPr>
      <w:widowControl w:val="off"/>
    </w:pPr>
    <w:rPr>
      <w:rFonts w:ascii="Arial" w:hAnsi="Arial" w:cs="Arial"/>
      <w:lang w:val="ru-RU" w:eastAsia="ru-RU" w:bidi="ar-SA"/>
    </w:rPr>
  </w:style>
  <w:style w:type="paragraph" w:styleId="697">
    <w:name w:val="ConsPlusTitle"/>
    <w:next w:val="697"/>
    <w:link w:val="67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8">
    <w:name w:val="ConsPlusNonformat"/>
    <w:next w:val="698"/>
    <w:link w:val="67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9">
    <w:name w:val="Заголовок 3 Знак"/>
    <w:next w:val="699"/>
    <w:link w:val="67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0">
    <w:name w:val="ConsPlusNormal Знак"/>
    <w:next w:val="700"/>
    <w:link w:val="693"/>
    <w:rPr>
      <w:sz w:val="24"/>
      <w:szCs w:val="24"/>
    </w:rPr>
  </w:style>
  <w:style w:type="character" w:styleId="701">
    <w:name w:val="Название Знак"/>
    <w:next w:val="701"/>
    <w:link w:val="672"/>
    <w:rPr>
      <w:rFonts w:ascii="Cambria" w:hAnsi="Cambria" w:eastAsia="Times New Roman" w:cs="Times New Roman"/>
      <w:b/>
      <w:bCs/>
      <w:sz w:val="32"/>
      <w:szCs w:val="32"/>
    </w:rPr>
  </w:style>
  <w:style w:type="paragraph" w:styleId="702">
    <w:name w:val="Заголовок"/>
    <w:basedOn w:val="672"/>
    <w:next w:val="672"/>
    <w:link w:val="70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3">
    <w:name w:val="Заголовок Знак"/>
    <w:next w:val="703"/>
    <w:link w:val="70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4">
    <w:name w:val="Без интервала"/>
    <w:next w:val="704"/>
    <w:link w:val="67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5">
    <w:name w:val="Заголовок №2_"/>
    <w:next w:val="705"/>
    <w:link w:val="706"/>
    <w:rPr>
      <w:sz w:val="19"/>
      <w:szCs w:val="19"/>
      <w:shd w:val="clear" w:color="auto" w:fill="ffffff"/>
    </w:rPr>
  </w:style>
  <w:style w:type="paragraph" w:styleId="706">
    <w:name w:val="Заголовок №2"/>
    <w:basedOn w:val="672"/>
    <w:next w:val="706"/>
    <w:link w:val="70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7">
    <w:name w:val="Основной текст + Интервал 0 pt"/>
    <w:next w:val="707"/>
    <w:link w:val="67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8">
    <w:name w:val="Обычный (веб)"/>
    <w:basedOn w:val="672"/>
    <w:next w:val="708"/>
    <w:link w:val="672"/>
    <w:uiPriority w:val="99"/>
    <w:unhideWhenUsed/>
    <w:pPr>
      <w:spacing w:before="100" w:beforeAutospacing="1" w:after="100" w:afterAutospacing="1"/>
    </w:pPr>
  </w:style>
  <w:style w:type="character" w:styleId="709">
    <w:name w:val="Заголовок 1 Знак"/>
    <w:next w:val="709"/>
    <w:link w:val="673"/>
    <w:rPr>
      <w:b/>
      <w:sz w:val="22"/>
    </w:rPr>
  </w:style>
  <w:style w:type="numbering" w:styleId="710">
    <w:name w:val="Стиль1"/>
    <w:next w:val="710"/>
    <w:link w:val="672"/>
    <w:uiPriority w:val="99"/>
    <w:pPr>
      <w:numPr>
        <w:numId w:val="1"/>
      </w:numPr>
    </w:pPr>
  </w:style>
  <w:style w:type="character" w:styleId="711">
    <w:name w:val="Строгий"/>
    <w:next w:val="711"/>
    <w:link w:val="672"/>
    <w:uiPriority w:val="22"/>
    <w:qFormat/>
    <w:rPr>
      <w:b/>
      <w:bCs/>
    </w:rPr>
  </w:style>
  <w:style w:type="character" w:styleId="712">
    <w:name w:val="Заголовок 2 Знак"/>
    <w:next w:val="712"/>
    <w:link w:val="67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3">
    <w:name w:val="Основной текст 2"/>
    <w:basedOn w:val="672"/>
    <w:next w:val="713"/>
    <w:link w:val="714"/>
    <w:semiHidden/>
    <w:unhideWhenUsed/>
    <w:pPr>
      <w:spacing w:after="120" w:line="480" w:lineRule="auto"/>
    </w:pPr>
  </w:style>
  <w:style w:type="character" w:styleId="714">
    <w:name w:val="Основной текст 2 Знак"/>
    <w:next w:val="714"/>
    <w:link w:val="713"/>
    <w:semiHidden/>
    <w:rPr>
      <w:sz w:val="24"/>
      <w:szCs w:val="24"/>
    </w:rPr>
  </w:style>
  <w:style w:type="table" w:styleId="715">
    <w:name w:val="Сетка таблицы1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6">
    <w:name w:val="ConsNonformat"/>
    <w:next w:val="716"/>
    <w:link w:val="67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7">
    <w:name w:val="Основной текст7"/>
    <w:basedOn w:val="672"/>
    <w:next w:val="717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8">
    <w:name w:val="Верхний колонтитул"/>
    <w:basedOn w:val="672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Верх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paragraph" w:styleId="720">
    <w:name w:val="Нижний колонтитул"/>
    <w:basedOn w:val="672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Ниж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numbering" w:styleId="722">
    <w:name w:val="Нет списка1"/>
    <w:next w:val="684"/>
    <w:link w:val="672"/>
    <w:uiPriority w:val="99"/>
    <w:semiHidden/>
    <w:unhideWhenUsed/>
  </w:style>
  <w:style w:type="character" w:styleId="723">
    <w:name w:val="Текст выноски Знак"/>
    <w:next w:val="723"/>
    <w:link w:val="687"/>
    <w:uiPriority w:val="99"/>
    <w:semiHidden/>
    <w:rPr>
      <w:rFonts w:ascii="Tahoma" w:hAnsi="Tahoma" w:cs="Tahoma"/>
      <w:sz w:val="16"/>
      <w:szCs w:val="16"/>
    </w:rPr>
  </w:style>
  <w:style w:type="paragraph" w:styleId="724">
    <w:name w:val=" Знак"/>
    <w:basedOn w:val="672"/>
    <w:next w:val="724"/>
    <w:link w:val="67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5">
    <w:name w:val="Нет списка2"/>
    <w:next w:val="684"/>
    <w:link w:val="672"/>
    <w:uiPriority w:val="99"/>
    <w:semiHidden/>
    <w:unhideWhenUsed/>
  </w:style>
  <w:style w:type="numbering" w:styleId="726">
    <w:name w:val="Нет списка3"/>
    <w:next w:val="684"/>
    <w:link w:val="672"/>
    <w:uiPriority w:val="99"/>
    <w:semiHidden/>
    <w:unhideWhenUsed/>
  </w:style>
  <w:style w:type="paragraph" w:styleId="727">
    <w:name w:val="Default"/>
    <w:next w:val="727"/>
    <w:link w:val="672"/>
    <w:rPr>
      <w:color w:val="000000"/>
      <w:sz w:val="24"/>
      <w:szCs w:val="24"/>
      <w:lang w:val="ru-RU" w:eastAsia="ru-RU" w:bidi="ar-SA"/>
    </w:rPr>
  </w:style>
  <w:style w:type="character" w:styleId="728">
    <w:name w:val="Заголовок 4 Знак"/>
    <w:next w:val="728"/>
    <w:link w:val="676"/>
    <w:uiPriority w:val="9"/>
    <w:semiHidden/>
    <w:rPr>
      <w:rFonts w:ascii="Calibri" w:hAnsi="Calibri"/>
      <w:b/>
      <w:bCs/>
      <w:sz w:val="28"/>
      <w:szCs w:val="28"/>
    </w:rPr>
  </w:style>
  <w:style w:type="character" w:styleId="729">
    <w:name w:val="Заголовок 5 Знак"/>
    <w:next w:val="729"/>
    <w:link w:val="67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0">
    <w:name w:val="Заголовок 6 Знак"/>
    <w:next w:val="730"/>
    <w:link w:val="678"/>
    <w:uiPriority w:val="9"/>
    <w:semiHidden/>
    <w:rPr>
      <w:rFonts w:ascii="Calibri" w:hAnsi="Calibri"/>
      <w:b/>
      <w:bCs/>
      <w:sz w:val="22"/>
      <w:szCs w:val="22"/>
    </w:rPr>
  </w:style>
  <w:style w:type="character" w:styleId="731">
    <w:name w:val="Заголовок 7 Знак"/>
    <w:next w:val="731"/>
    <w:link w:val="679"/>
    <w:uiPriority w:val="9"/>
    <w:semiHidden/>
    <w:rPr>
      <w:rFonts w:ascii="Calibri" w:hAnsi="Calibri"/>
      <w:sz w:val="22"/>
      <w:szCs w:val="22"/>
    </w:rPr>
  </w:style>
  <w:style w:type="character" w:styleId="732">
    <w:name w:val="Заголовок 8 Знак"/>
    <w:next w:val="732"/>
    <w:link w:val="680"/>
    <w:uiPriority w:val="9"/>
    <w:semiHidden/>
    <w:rPr>
      <w:rFonts w:ascii="Calibri" w:hAnsi="Calibri"/>
      <w:i/>
      <w:iCs/>
      <w:sz w:val="22"/>
      <w:szCs w:val="22"/>
    </w:rPr>
  </w:style>
  <w:style w:type="character" w:styleId="733">
    <w:name w:val="Заголовок 9 Знак"/>
    <w:next w:val="733"/>
    <w:link w:val="681"/>
    <w:uiPriority w:val="9"/>
    <w:semiHidden/>
    <w:rPr>
      <w:rFonts w:ascii="Cambria" w:hAnsi="Cambria"/>
      <w:sz w:val="22"/>
      <w:szCs w:val="22"/>
    </w:rPr>
  </w:style>
  <w:style w:type="paragraph" w:styleId="734">
    <w:name w:val="Подзаголовок"/>
    <w:basedOn w:val="672"/>
    <w:next w:val="672"/>
    <w:link w:val="73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5">
    <w:name w:val="Подзаголовок Знак"/>
    <w:next w:val="735"/>
    <w:link w:val="734"/>
    <w:uiPriority w:val="11"/>
    <w:rPr>
      <w:rFonts w:ascii="Cambria" w:hAnsi="Cambria"/>
      <w:sz w:val="22"/>
      <w:szCs w:val="22"/>
    </w:rPr>
  </w:style>
  <w:style w:type="character" w:styleId="736">
    <w:name w:val="Выделение"/>
    <w:next w:val="736"/>
    <w:link w:val="672"/>
    <w:qFormat/>
    <w:rPr>
      <w:rFonts w:ascii="Calibri" w:hAnsi="Calibri"/>
      <w:b/>
      <w:i/>
      <w:iCs/>
    </w:rPr>
  </w:style>
  <w:style w:type="paragraph" w:styleId="737">
    <w:name w:val="Цитата 2"/>
    <w:basedOn w:val="672"/>
    <w:next w:val="672"/>
    <w:link w:val="73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8">
    <w:name w:val="Цитата 2 Знак"/>
    <w:next w:val="738"/>
    <w:link w:val="737"/>
    <w:uiPriority w:val="29"/>
    <w:rPr>
      <w:rFonts w:ascii="Calibri" w:hAnsi="Calibri"/>
      <w:i/>
      <w:sz w:val="22"/>
      <w:szCs w:val="22"/>
    </w:rPr>
  </w:style>
  <w:style w:type="paragraph" w:styleId="739">
    <w:name w:val="Выделенная цитата"/>
    <w:basedOn w:val="672"/>
    <w:next w:val="672"/>
    <w:link w:val="74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0">
    <w:name w:val="Выделенная цитата Знак"/>
    <w:next w:val="740"/>
    <w:link w:val="739"/>
    <w:uiPriority w:val="30"/>
    <w:rPr>
      <w:rFonts w:ascii="Calibri" w:hAnsi="Calibri"/>
      <w:b/>
      <w:i/>
      <w:sz w:val="22"/>
      <w:szCs w:val="22"/>
    </w:rPr>
  </w:style>
  <w:style w:type="character" w:styleId="741">
    <w:name w:val="Слабое выделение"/>
    <w:next w:val="741"/>
    <w:link w:val="672"/>
    <w:uiPriority w:val="19"/>
    <w:qFormat/>
    <w:rPr>
      <w:i/>
      <w:color w:val="5a5a5a"/>
    </w:rPr>
  </w:style>
  <w:style w:type="character" w:styleId="742">
    <w:name w:val="Сильное выделение"/>
    <w:next w:val="742"/>
    <w:link w:val="672"/>
    <w:uiPriority w:val="21"/>
    <w:qFormat/>
    <w:rPr>
      <w:b/>
      <w:i/>
      <w:sz w:val="24"/>
      <w:szCs w:val="24"/>
      <w:u w:val="single"/>
    </w:rPr>
  </w:style>
  <w:style w:type="character" w:styleId="743">
    <w:name w:val="Слабая ссылка"/>
    <w:next w:val="743"/>
    <w:link w:val="672"/>
    <w:uiPriority w:val="31"/>
    <w:qFormat/>
    <w:rPr>
      <w:sz w:val="24"/>
      <w:szCs w:val="24"/>
      <w:u w:val="single"/>
    </w:rPr>
  </w:style>
  <w:style w:type="character" w:styleId="744">
    <w:name w:val="Сильная ссылка"/>
    <w:next w:val="744"/>
    <w:link w:val="672"/>
    <w:uiPriority w:val="32"/>
    <w:qFormat/>
    <w:rPr>
      <w:b/>
      <w:sz w:val="24"/>
      <w:u w:val="single"/>
    </w:rPr>
  </w:style>
  <w:style w:type="character" w:styleId="745">
    <w:name w:val="Название книги"/>
    <w:next w:val="745"/>
    <w:link w:val="67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6">
    <w:name w:val="Заголовок оглавления"/>
    <w:basedOn w:val="673"/>
    <w:next w:val="672"/>
    <w:link w:val="67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7">
    <w:name w:val="Основной текст с отступом 3"/>
    <w:basedOn w:val="672"/>
    <w:next w:val="747"/>
    <w:link w:val="748"/>
    <w:unhideWhenUsed/>
    <w:pPr>
      <w:ind w:left="283"/>
      <w:spacing w:after="120"/>
    </w:pPr>
    <w:rPr>
      <w:sz w:val="16"/>
      <w:szCs w:val="16"/>
    </w:rPr>
  </w:style>
  <w:style w:type="character" w:styleId="748">
    <w:name w:val="Основной текст с отступом 3 Знак"/>
    <w:next w:val="748"/>
    <w:link w:val="747"/>
    <w:rPr>
      <w:sz w:val="16"/>
      <w:szCs w:val="16"/>
    </w:rPr>
  </w:style>
  <w:style w:type="paragraph" w:styleId="749">
    <w:name w:val="Знак"/>
    <w:basedOn w:val="672"/>
    <w:next w:val="749"/>
    <w:link w:val="67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0">
    <w:name w:val="Просмотренная гиперссылка"/>
    <w:next w:val="750"/>
    <w:link w:val="672"/>
    <w:uiPriority w:val="99"/>
    <w:semiHidden/>
    <w:unhideWhenUsed/>
    <w:rPr>
      <w:color w:val="800080"/>
      <w:u w:val="single"/>
    </w:rPr>
  </w:style>
  <w:style w:type="paragraph" w:styleId="751">
    <w:name w:val="ConsTitle"/>
    <w:next w:val="751"/>
    <w:link w:val="67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2">
    <w:name w:val="ConsNormal"/>
    <w:next w:val="752"/>
    <w:link w:val="67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3">
    <w:name w:val=" Знак Знак1"/>
    <w:basedOn w:val="672"/>
    <w:next w:val="753"/>
    <w:link w:val="67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4">
    <w:name w:val="Колонтитул (2)_"/>
    <w:next w:val="754"/>
    <w:link w:val="759"/>
  </w:style>
  <w:style w:type="character" w:styleId="755">
    <w:name w:val="Основной текст (2)_"/>
    <w:next w:val="755"/>
    <w:link w:val="760"/>
  </w:style>
  <w:style w:type="character" w:styleId="756">
    <w:name w:val="Заголовок №1_"/>
    <w:next w:val="756"/>
    <w:link w:val="761"/>
    <w:rPr>
      <w:b/>
      <w:bCs/>
    </w:rPr>
  </w:style>
  <w:style w:type="character" w:styleId="757">
    <w:name w:val="Другое_"/>
    <w:next w:val="757"/>
    <w:link w:val="762"/>
  </w:style>
  <w:style w:type="character" w:styleId="758">
    <w:name w:val="Подпись к таблице_"/>
    <w:next w:val="758"/>
    <w:link w:val="763"/>
  </w:style>
  <w:style w:type="paragraph" w:styleId="759">
    <w:name w:val="Колонтитул (2)"/>
    <w:basedOn w:val="672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"/>
    <w:basedOn w:val="672"/>
    <w:next w:val="760"/>
    <w:link w:val="755"/>
    <w:pPr>
      <w:ind w:left="5600"/>
      <w:widowControl w:val="off"/>
    </w:pPr>
    <w:rPr>
      <w:sz w:val="20"/>
      <w:szCs w:val="20"/>
    </w:rPr>
  </w:style>
  <w:style w:type="paragraph" w:styleId="761">
    <w:name w:val="Заголовок №1"/>
    <w:basedOn w:val="672"/>
    <w:next w:val="761"/>
    <w:link w:val="75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2">
    <w:name w:val="Другое"/>
    <w:basedOn w:val="672"/>
    <w:next w:val="762"/>
    <w:link w:val="757"/>
    <w:pPr>
      <w:widowControl w:val="off"/>
    </w:pPr>
    <w:rPr>
      <w:sz w:val="20"/>
      <w:szCs w:val="20"/>
    </w:rPr>
  </w:style>
  <w:style w:type="paragraph" w:styleId="763">
    <w:name w:val="Подпись к таблице"/>
    <w:basedOn w:val="672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1"/>
    <w:basedOn w:val="672"/>
    <w:next w:val="764"/>
    <w:link w:val="67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5">
    <w:name w:val="Основной текст (2) + 9 pt"/>
    <w:next w:val="765"/>
    <w:link w:val="672"/>
    <w:uiPriority w:val="99"/>
    <w:rPr>
      <w:rFonts w:cs="Times New Roman"/>
      <w:sz w:val="18"/>
      <w:szCs w:val="18"/>
      <w:shd w:val="clear" w:color="auto" w:fill="ffffff"/>
    </w:rPr>
  </w:style>
  <w:style w:type="character" w:styleId="766">
    <w:name w:val="Основной текст (2) + 9 pt2,Полужирный2,Курсив2"/>
    <w:next w:val="766"/>
    <w:link w:val="67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7">
    <w:name w:val="Основной текст (3)_"/>
    <w:next w:val="767"/>
    <w:link w:val="768"/>
    <w:rPr>
      <w:sz w:val="21"/>
      <w:szCs w:val="21"/>
      <w:shd w:val="clear" w:color="auto" w:fill="ffffff"/>
    </w:rPr>
  </w:style>
  <w:style w:type="paragraph" w:styleId="768">
    <w:name w:val="Основной текст (3)"/>
    <w:basedOn w:val="672"/>
    <w:next w:val="768"/>
    <w:link w:val="76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9">
    <w:name w:val="Основной текст3"/>
    <w:basedOn w:val="672"/>
    <w:next w:val="769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0">
    <w:name w:val="1"/>
    <w:basedOn w:val="672"/>
    <w:next w:val="770"/>
    <w:link w:val="67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1">
    <w:name w:val="Цитата"/>
    <w:basedOn w:val="672"/>
    <w:next w:val="771"/>
    <w:link w:val="672"/>
    <w:pPr>
      <w:ind w:left="851" w:right="1274"/>
      <w:jc w:val="center"/>
    </w:pPr>
    <w:rPr>
      <w:b/>
      <w:sz w:val="28"/>
      <w:szCs w:val="20"/>
    </w:rPr>
  </w:style>
  <w:style w:type="paragraph" w:styleId="772">
    <w:name w:val="formattext topleveltext"/>
    <w:basedOn w:val="672"/>
    <w:next w:val="772"/>
    <w:link w:val="672"/>
    <w:pPr>
      <w:spacing w:before="100" w:beforeAutospacing="1" w:after="100" w:afterAutospacing="1"/>
    </w:pPr>
  </w:style>
  <w:style w:type="paragraph" w:styleId="773">
    <w:name w:val="Абзац списка1"/>
    <w:basedOn w:val="672"/>
    <w:next w:val="773"/>
    <w:link w:val="672"/>
    <w:pPr>
      <w:ind w:left="720"/>
      <w:spacing w:line="276" w:lineRule="auto"/>
    </w:pPr>
  </w:style>
  <w:style w:type="paragraph" w:styleId="774">
    <w:name w:val="Standard"/>
    <w:next w:val="774"/>
    <w:link w:val="67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5">
    <w:name w:val="Сетка таблицы2"/>
    <w:basedOn w:val="683"/>
    <w:next w:val="685"/>
    <w:link w:val="6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6">
    <w:name w:val="Сетка таблицы3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7">
    <w:name w:val="Прижатый влево"/>
    <w:basedOn w:val="672"/>
    <w:next w:val="672"/>
    <w:link w:val="672"/>
    <w:rPr>
      <w:rFonts w:ascii="Arial" w:hAnsi="Arial"/>
      <w:sz w:val="20"/>
      <w:szCs w:val="20"/>
    </w:rPr>
  </w:style>
  <w:style w:type="character" w:styleId="778">
    <w:name w:val="Абзац списка Знак,мой Знак"/>
    <w:next w:val="778"/>
    <w:link w:val="688"/>
    <w:uiPriority w:val="34"/>
    <w:rPr>
      <w:sz w:val="24"/>
      <w:szCs w:val="24"/>
    </w:rPr>
  </w:style>
  <w:style w:type="character" w:styleId="1230" w:default="1">
    <w:name w:val="Default Paragraph Font"/>
    <w:uiPriority w:val="1"/>
    <w:semiHidden/>
    <w:unhideWhenUsed/>
  </w:style>
  <w:style w:type="numbering" w:styleId="1231" w:default="1">
    <w:name w:val="No List"/>
    <w:uiPriority w:val="99"/>
    <w:semiHidden/>
    <w:unhideWhenUsed/>
  </w:style>
  <w:style w:type="table" w:styleId="12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505</cp:revision>
  <dcterms:created xsi:type="dcterms:W3CDTF">2020-03-19T03:57:00Z</dcterms:created>
  <dcterms:modified xsi:type="dcterms:W3CDTF">2023-03-22T07:11:20Z</dcterms:modified>
  <cp:version>1048576</cp:version>
</cp:coreProperties>
</file>