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3"/>
            </w:pPr>
            <w:r/>
            <w:r/>
          </w:p>
          <w:p>
            <w:pPr>
              <w:pStyle w:val="69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3"/>
              <w:jc w:val="center"/>
            </w:pPr>
            <w:r/>
            <w:r/>
          </w:p>
          <w:p>
            <w:pPr>
              <w:pStyle w:val="663"/>
            </w:pPr>
            <w:r/>
            <w:r/>
          </w:p>
          <w:p>
            <w:pPr>
              <w:pStyle w:val="663"/>
            </w:pPr>
            <w:r/>
            <w:r/>
          </w:p>
          <w:p>
            <w:pPr>
              <w:pStyle w:val="663"/>
              <w:ind w:left="-113"/>
            </w:pPr>
            <w:r>
              <w:t xml:space="preserve"> 06 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 №158</w:t>
            </w:r>
            <w:r/>
          </w:p>
          <w:p>
            <w:pPr>
              <w:pStyle w:val="66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</w:tr>
    </w:tbl>
    <w:p>
      <w:pPr>
        <w:pStyle w:val="663"/>
        <w:ind w:right="4536"/>
        <w:jc w:val="both"/>
      </w:pPr>
      <w:r>
        <w:t xml:space="preserve">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на 2018-2025 годы города Сосновоборска»</w:t>
      </w:r>
      <w:r/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3"/>
        <w:ind w:right="4817"/>
        <w:jc w:val="both"/>
      </w:pPr>
      <w:r/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перераспределения бюджетных ассигнований,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</w:t>
      </w:r>
      <w:r>
        <w:rPr>
          <w:bCs/>
          <w:sz w:val="28"/>
          <w:szCs w:val="28"/>
        </w:rPr>
        <w:t xml:space="preserve"> программ субъектов РФ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</w:t>
      </w:r>
      <w:r>
        <w:rPr>
          <w:bCs/>
          <w:sz w:val="28"/>
          <w:szCs w:val="28"/>
        </w:rPr>
        <w:t xml:space="preserve">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pStyle w:val="663"/>
        <w:ind w:firstLine="567"/>
        <w:jc w:val="both"/>
        <w:tabs>
          <w:tab w:val="left" w:pos="709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6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6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в постановление администрации города Сосновоборска от 31.10.2017 № 1438 «Об утверждении муниципальной программы «Формирование комфортной городской среды города Сосновоборска на 2018-2025 годы»» (далее – Программа) следующие изменения:</w:t>
      </w:r>
      <w:r/>
    </w:p>
    <w:p>
      <w:pPr>
        <w:pStyle w:val="663"/>
        <w:ind w:firstLine="567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  <w:t xml:space="preserve">В приложении к постановлению </w:t>
      </w:r>
      <w:r>
        <w:rPr>
          <w:rFonts w:eastAsia="SimSun"/>
          <w:sz w:val="28"/>
          <w:szCs w:val="28"/>
          <w:lang w:eastAsia="ar-SA"/>
        </w:rPr>
        <w:t xml:space="preserve">Паспорт муниципальной программы</w:t>
      </w:r>
      <w:r>
        <w:rPr>
          <w:sz w:val="28"/>
          <w:szCs w:val="28"/>
        </w:rPr>
        <w:t xml:space="preserve"> строку 9 таблицы изложить в новой редакции следующего содержания:</w:t>
      </w:r>
      <w:r/>
    </w:p>
    <w:tbl>
      <w:tblPr>
        <w:tblW w:w="9781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3154"/>
        <w:gridCol w:w="6627"/>
      </w:tblGrid>
      <w:tr>
        <w:trPr>
          <w:trHeight w:val="49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4" w:type="dxa"/>
            <w:vAlign w:val="center"/>
            <w:textDirection w:val="lrTb"/>
            <w:noWrap w:val="false"/>
          </w:tcPr>
          <w:p>
            <w:pPr>
              <w:pStyle w:val="663"/>
              <w:widowControl w:val="off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7" w:type="dxa"/>
            <w:vAlign w:val="top"/>
            <w:textDirection w:val="lrTb"/>
            <w:noWrap w:val="false"/>
          </w:tcPr>
          <w:p>
            <w:pPr>
              <w:pStyle w:val="66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Финансирование программы на 2018 - 2025 годы составит </w:t>
            </w:r>
            <w:r>
              <w:rPr>
                <w:sz w:val="26"/>
                <w:szCs w:val="26"/>
              </w:rPr>
              <w:t xml:space="preserve">266 836,3 </w:t>
            </w:r>
            <w:r>
              <w:rPr>
                <w:color w:val="000000"/>
                <w:sz w:val="26"/>
                <w:szCs w:val="26"/>
              </w:rPr>
              <w:t xml:space="preserve">тыс. рублей, в том числе за счет средств:                                                     </w:t>
            </w:r>
            <w:r/>
          </w:p>
          <w:p>
            <w:pPr>
              <w:pStyle w:val="66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 федерального бюджета 152 316,1 рублей, том числе:</w:t>
            </w:r>
            <w:r/>
          </w:p>
          <w:p>
            <w:pPr>
              <w:pStyle w:val="663"/>
              <w:numPr>
                <w:ilvl w:val="0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6 566,7 тыс. рублей,</w:t>
            </w:r>
            <w:r/>
          </w:p>
          <w:p>
            <w:pPr>
              <w:pStyle w:val="663"/>
              <w:numPr>
                <w:ilvl w:val="0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13 046,3 тыс. рублей,</w:t>
            </w:r>
            <w:r/>
          </w:p>
          <w:p>
            <w:pPr>
              <w:pStyle w:val="663"/>
              <w:numPr>
                <w:ilvl w:val="0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11 690,9 тыс. рублей;</w:t>
            </w:r>
            <w:r/>
          </w:p>
          <w:p>
            <w:pPr>
              <w:pStyle w:val="663"/>
              <w:numPr>
                <w:ilvl w:val="0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-  10 568,7 тыс. рублей;</w:t>
            </w:r>
            <w:r/>
          </w:p>
          <w:p>
            <w:pPr>
              <w:pStyle w:val="663"/>
              <w:numPr>
                <w:ilvl w:val="0"/>
                <w:numId w:val="32"/>
              </w:numPr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87 013,4 тыс. рублей; </w:t>
            </w:r>
            <w:r/>
          </w:p>
          <w:p>
            <w:pPr>
              <w:pStyle w:val="663"/>
              <w:numPr>
                <w:ilvl w:val="0"/>
                <w:numId w:val="32"/>
              </w:numPr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11 102,3 тыс. рублей;                                                                 </w:t>
            </w:r>
            <w:r/>
          </w:p>
          <w:p>
            <w:pPr>
              <w:pStyle w:val="663"/>
              <w:numPr>
                <w:ilvl w:val="0"/>
                <w:numId w:val="32"/>
              </w:numPr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12 327,9 тыс. рублей;</w:t>
            </w:r>
            <w:r/>
          </w:p>
          <w:p>
            <w:pPr>
              <w:pStyle w:val="663"/>
              <w:numPr>
                <w:ilvl w:val="0"/>
                <w:numId w:val="32"/>
              </w:numPr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-   0,00 тыс. рублей.                                                                 </w:t>
            </w:r>
            <w:r/>
          </w:p>
          <w:p>
            <w:pPr>
              <w:pStyle w:val="663"/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 краевого бюджета 59 832,4 тыс. рублей, том числе:</w:t>
            </w:r>
            <w:r/>
          </w:p>
          <w:p>
            <w:pPr>
              <w:pStyle w:val="663"/>
              <w:numPr>
                <w:ilvl w:val="1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5 542,7 тыс. рублей;</w:t>
            </w:r>
            <w:r/>
          </w:p>
          <w:p>
            <w:pPr>
              <w:pStyle w:val="663"/>
              <w:numPr>
                <w:ilvl w:val="1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686,6 тыс. рублей;</w:t>
            </w:r>
            <w:r/>
          </w:p>
          <w:p>
            <w:pPr>
              <w:pStyle w:val="663"/>
              <w:numPr>
                <w:ilvl w:val="1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615,3 тыс. рублей;</w:t>
            </w:r>
            <w:r/>
          </w:p>
          <w:p>
            <w:pPr>
              <w:pStyle w:val="663"/>
              <w:numPr>
                <w:ilvl w:val="1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556,2тыс. рублей;</w:t>
            </w:r>
            <w:r/>
          </w:p>
          <w:p>
            <w:pPr>
              <w:pStyle w:val="663"/>
              <w:numPr>
                <w:ilvl w:val="1"/>
                <w:numId w:val="32"/>
              </w:numPr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50 542,8 тыс. рублей; </w:t>
            </w:r>
            <w:r/>
          </w:p>
          <w:p>
            <w:pPr>
              <w:pStyle w:val="663"/>
              <w:numPr>
                <w:ilvl w:val="1"/>
                <w:numId w:val="32"/>
              </w:numPr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584,3 тыс. рублей; </w:t>
            </w:r>
            <w:r/>
          </w:p>
          <w:p>
            <w:pPr>
              <w:pStyle w:val="663"/>
              <w:numPr>
                <w:ilvl w:val="1"/>
                <w:numId w:val="32"/>
              </w:numPr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648,8 тыс. рублей;</w:t>
            </w:r>
            <w:r/>
          </w:p>
          <w:p>
            <w:pPr>
              <w:pStyle w:val="663"/>
              <w:numPr>
                <w:ilvl w:val="1"/>
                <w:numId w:val="32"/>
              </w:numPr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г.-    655,5 тыс. рублей.</w:t>
            </w:r>
            <w:r/>
          </w:p>
          <w:p>
            <w:pPr>
              <w:pStyle w:val="663"/>
              <w:tabs>
                <w:tab w:val="left" w:pos="1176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 бюджета города 52 026,3 тыс. рублей в том числе:</w:t>
            </w:r>
            <w:r/>
          </w:p>
          <w:p>
            <w:pPr>
              <w:pStyle w:val="663"/>
              <w:numPr>
                <w:ilvl w:val="2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764,0 тыс. рублей;</w:t>
            </w:r>
            <w:r/>
          </w:p>
          <w:p>
            <w:pPr>
              <w:pStyle w:val="663"/>
              <w:numPr>
                <w:ilvl w:val="2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1 370,6 тыс. рублей;</w:t>
            </w:r>
            <w:r/>
          </w:p>
          <w:p>
            <w:pPr>
              <w:pStyle w:val="663"/>
              <w:numPr>
                <w:ilvl w:val="2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1 901,3 тыс. рублей;</w:t>
            </w:r>
            <w:r/>
          </w:p>
          <w:p>
            <w:pPr>
              <w:pStyle w:val="663"/>
              <w:numPr>
                <w:ilvl w:val="2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5 631,4 тыс. рублей;</w:t>
            </w:r>
            <w:r/>
          </w:p>
          <w:p>
            <w:pPr>
              <w:pStyle w:val="663"/>
              <w:numPr>
                <w:ilvl w:val="2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40 628,9 тыс. рублей; </w:t>
            </w:r>
            <w:r/>
          </w:p>
          <w:p>
            <w:pPr>
              <w:pStyle w:val="663"/>
              <w:numPr>
                <w:ilvl w:val="2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556,0 тыс. рублей; </w:t>
            </w:r>
            <w:r/>
          </w:p>
          <w:p>
            <w:pPr>
              <w:pStyle w:val="663"/>
              <w:numPr>
                <w:ilvl w:val="2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618,0 тыс. рублей;</w:t>
            </w:r>
            <w:r/>
          </w:p>
          <w:p>
            <w:pPr>
              <w:pStyle w:val="663"/>
              <w:numPr>
                <w:ilvl w:val="2"/>
                <w:numId w:val="32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– 556,0 тыс. рублей.</w:t>
            </w:r>
            <w:r/>
          </w:p>
          <w:p>
            <w:pPr>
              <w:pStyle w:val="663"/>
              <w:jc w:val="both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внебюджетные средства – 2 661,4 тыс. рублей:</w:t>
            </w:r>
            <w:r/>
          </w:p>
          <w:p>
            <w:pPr>
              <w:pStyle w:val="663"/>
              <w:numPr>
                <w:ilvl w:val="2"/>
                <w:numId w:val="33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505,3 тыс. рублей;</w:t>
            </w:r>
            <w:r/>
          </w:p>
          <w:p>
            <w:pPr>
              <w:pStyle w:val="663"/>
              <w:numPr>
                <w:ilvl w:val="2"/>
                <w:numId w:val="33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839,0 тыс. рублей;</w:t>
            </w:r>
            <w:r/>
          </w:p>
          <w:p>
            <w:pPr>
              <w:pStyle w:val="663"/>
              <w:numPr>
                <w:ilvl w:val="2"/>
                <w:numId w:val="33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375,2 тыс. рублей;</w:t>
            </w:r>
            <w:r/>
          </w:p>
          <w:p>
            <w:pPr>
              <w:pStyle w:val="663"/>
              <w:numPr>
                <w:ilvl w:val="2"/>
                <w:numId w:val="33"/>
              </w:numPr>
              <w:tabs>
                <w:tab w:val="left" w:pos="1154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 – 0,0 тыс. рублей;</w:t>
            </w:r>
            <w:r/>
          </w:p>
          <w:p>
            <w:pPr>
              <w:pStyle w:val="663"/>
              <w:numPr>
                <w:ilvl w:val="2"/>
                <w:numId w:val="33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 xml:space="preserve">г.  – 432,7 тыс. рублей; </w:t>
            </w:r>
            <w:r>
              <w:rPr>
                <w:rFonts w:eastAsia="SimSun"/>
                <w:bCs/>
                <w:color w:val="000000"/>
                <w:sz w:val="26"/>
                <w:szCs w:val="26"/>
                <w:lang w:eastAsia="ar-SA"/>
              </w:rPr>
            </w:r>
            <w:r/>
          </w:p>
          <w:p>
            <w:pPr>
              <w:pStyle w:val="663"/>
              <w:numPr>
                <w:ilvl w:val="2"/>
                <w:numId w:val="33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 xml:space="preserve">г.  – 509,3 тыс. рублей; </w:t>
            </w:r>
            <w:r>
              <w:rPr>
                <w:rFonts w:eastAsia="SimSun"/>
                <w:bCs/>
                <w:color w:val="000000"/>
                <w:sz w:val="26"/>
                <w:szCs w:val="26"/>
                <w:lang w:eastAsia="ar-SA"/>
              </w:rPr>
            </w:r>
            <w:r/>
          </w:p>
          <w:p>
            <w:pPr>
              <w:pStyle w:val="663"/>
              <w:numPr>
                <w:ilvl w:val="2"/>
                <w:numId w:val="33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 xml:space="preserve">г.  – 0,0 тыс. рублей; </w:t>
            </w:r>
            <w:r>
              <w:rPr>
                <w:rFonts w:eastAsia="SimSun"/>
                <w:bCs/>
                <w:color w:val="000000"/>
                <w:sz w:val="26"/>
                <w:szCs w:val="26"/>
                <w:lang w:eastAsia="ar-SA"/>
              </w:rPr>
            </w:r>
            <w:r/>
          </w:p>
          <w:p>
            <w:pPr>
              <w:pStyle w:val="663"/>
              <w:numPr>
                <w:ilvl w:val="2"/>
                <w:numId w:val="33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 xml:space="preserve">г. -   0,0  тыс. рублей.</w:t>
            </w:r>
            <w:r>
              <w:rPr>
                <w:rFonts w:eastAsia="SimSun"/>
                <w:bCs/>
                <w:color w:val="000000"/>
                <w:sz w:val="26"/>
                <w:szCs w:val="26"/>
                <w:lang w:eastAsia="ar-SA"/>
              </w:rPr>
            </w:r>
            <w:r/>
          </w:p>
        </w:tc>
      </w:tr>
    </w:tbl>
    <w:p>
      <w:pPr>
        <w:pStyle w:val="663"/>
        <w:ind w:left="36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</w:r>
      <w:r/>
    </w:p>
    <w:p>
      <w:pPr>
        <w:pStyle w:val="663"/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 Первый абзац раздела 8 Программы изложить в новой редакции следующего содержания: «Общий объем финансирования муниципальной Программы на 2018 - 2025 годы составит 266 836,3 тыс. рублей, в том числе за счет средств:                          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</w:t>
      </w:r>
      <w:r>
        <w:rPr>
          <w:color w:val="000000"/>
          <w:sz w:val="28"/>
          <w:szCs w:val="28"/>
        </w:rPr>
        <w:t xml:space="preserve">152 316,1 рублей</w:t>
      </w:r>
      <w:r>
        <w:rPr>
          <w:sz w:val="28"/>
          <w:szCs w:val="28"/>
        </w:rPr>
        <w:t xml:space="preserve">, том числе: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 – 6 566,7 тыс. рублей,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– 13 046,3 тыс. рублей,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– 11 690,9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– 10 568,7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– 87 013,4 тыс. рублей;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– 11 102,3 тыс. рублей;                                                                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– 12 327,9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2025г. – 0,00 тыс. рублей.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59 832,4 тыс. рублей, том числе: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– 5 542,7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– 686,6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– 615,3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 – 556,2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 – 50 542,8 тыс. рублей;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 – 584,3 тыс. рублей;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 – 648,8 тыс. рублей;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  <w:tab/>
        <w:t xml:space="preserve">г.  – 655,5 тыс. рублей.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бюджета города 52 026,3 тыс. рублей в том числе: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– 764,0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 – 1 370,6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 – 1 901,3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 – 5 631,4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 – 40 628,9 тыс. рублей;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 – 556,0 тыс. рублей;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 – 618,0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  <w:tab/>
        <w:t xml:space="preserve">г.  – 556,0 тыс. рублей.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– 2 661,4 тыс. рублей: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 – 505,3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 – 839,0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 – 375,2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 – 0,0 тыс. рублей;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 – 432,7 тыс. рублей;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 – 509,3 тыс. рублей; 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 – 0,0 тыс. рублей.».</w:t>
      </w:r>
      <w:r/>
    </w:p>
    <w:p>
      <w:pPr>
        <w:pStyle w:val="663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Программе изложить в новой редакции согласно приложению 1 к настоящему постановлению.</w:t>
      </w:r>
      <w:r/>
    </w:p>
    <w:p>
      <w:pPr>
        <w:pStyle w:val="663"/>
        <w:ind w:firstLine="570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1.4. Приложение № 3.1 к Программе изложить в новой редакции согласно приложению 2 к настоящему постановлению.</w:t>
      </w:r>
      <w:r/>
    </w:p>
    <w:p>
      <w:pPr>
        <w:pStyle w:val="663"/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 Приложение № 4 к Программе изложить в новой редакции согласно приложению 3 к настоящему постановлению.</w:t>
      </w:r>
      <w:r/>
    </w:p>
    <w:p>
      <w:pPr>
        <w:pStyle w:val="66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63"/>
        <w:ind w:firstLine="56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6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А.С. Кудрявцев</w:t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709" w:right="851" w:bottom="851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63"/>
        <w:ind w:left="9072"/>
        <w:jc w:val="right"/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Приложение 1</w:t>
      </w:r>
      <w:r/>
    </w:p>
    <w:p>
      <w:pPr>
        <w:pStyle w:val="663"/>
        <w:ind w:left="9072"/>
        <w:jc w:val="right"/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от 06.02.2023 №158</w:t>
      </w:r>
      <w:r/>
    </w:p>
    <w:p>
      <w:pPr>
        <w:pStyle w:val="66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</w:t>
      </w:r>
      <w:r/>
    </w:p>
    <w:p>
      <w:pPr>
        <w:pStyle w:val="66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pStyle w:val="6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комфортной городской среды </w:t>
      </w:r>
      <w:r/>
    </w:p>
    <w:p>
      <w:pPr>
        <w:pStyle w:val="6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города Сосновоборска на 2018-2025 годы»</w:t>
      </w:r>
      <w:r/>
    </w:p>
    <w:p>
      <w:pPr>
        <w:pStyle w:val="663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6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распределении планируемых расходов по отдельным мероприятиям муниципальной программы </w:t>
      </w:r>
      <w:r/>
    </w:p>
    <w:p>
      <w:pPr>
        <w:pStyle w:val="66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"Формирование комфортной городской среды города Сосновоборска на 2018-2025 годы "</w:t>
      </w:r>
      <w:r/>
    </w:p>
    <w:p>
      <w:pPr>
        <w:pStyle w:val="66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5168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708"/>
        <w:gridCol w:w="709"/>
        <w:gridCol w:w="567"/>
        <w:gridCol w:w="567"/>
        <w:gridCol w:w="992"/>
        <w:gridCol w:w="142"/>
        <w:gridCol w:w="851"/>
        <w:gridCol w:w="850"/>
        <w:gridCol w:w="992"/>
        <w:gridCol w:w="851"/>
        <w:gridCol w:w="850"/>
        <w:gridCol w:w="851"/>
        <w:gridCol w:w="709"/>
        <w:gridCol w:w="567"/>
      </w:tblGrid>
      <w:tr>
        <w:trPr>
          <w:cantSplit/>
          <w:trHeight w:val="8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Статус (муниципальная 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 (тыс. руб.), годы</w:t>
            </w:r>
            <w:r/>
          </w:p>
        </w:tc>
      </w:tr>
      <w:tr>
        <w:trPr>
          <w:cantSplit/>
          <w:trHeight w:val="6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год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2018-2025 годы</w:t>
            </w:r>
            <w:r/>
          </w:p>
        </w:tc>
      </w:tr>
      <w:tr>
        <w:trPr>
          <w:cantSplit/>
          <w:trHeight w:val="10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"Формирование комфортной городской среды города Сосновоборска на 2018-202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годы 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13 378,7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15 942,5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14 582,7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16 756,3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178 617,9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12 751,9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13594,7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1211,5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266 836,3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11 219,9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15 094,1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14 202,3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14 461,9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2 802,2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57 780,5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1 650,0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2 294,4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110 398,5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114 342,9</w:t>
            </w:r>
            <w:r/>
          </w:p>
        </w:tc>
      </w:tr>
      <w:tr>
        <w:trPr>
          <w:cantSplit/>
          <w:trHeight w:val="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3,6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9,4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5,2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64 984,4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12 242,7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13 594,7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1 211,5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92 051,5</w:t>
            </w:r>
            <w:r/>
          </w:p>
        </w:tc>
      </w:tr>
      <w:tr>
        <w:trPr>
          <w:cantSplit/>
          <w:trHeight w:val="7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Средства</w:t>
            </w:r>
            <w:r>
              <w:rPr>
                <w:sz w:val="22"/>
                <w:szCs w:val="22"/>
              </w:rPr>
              <w:t xml:space="preserve"> собственников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505,3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839,0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375,2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432,7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</w:pPr>
            <w:r>
              <w:t xml:space="preserve">509,3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2 661,4</w:t>
            </w:r>
            <w:r/>
          </w:p>
        </w:tc>
      </w:tr>
    </w:tbl>
    <w:p>
      <w:pPr>
        <w:pStyle w:val="663"/>
        <w:tabs>
          <w:tab w:val="left" w:pos="9072" w:leader="none"/>
        </w:tabs>
        <w:rPr>
          <w:sz w:val="22"/>
          <w:szCs w:val="22"/>
        </w:rPr>
        <w:outlineLvl w:val="2"/>
      </w:pPr>
      <w:r/>
      <w:bookmarkStart w:id="0" w:name="_Hlk101854719"/>
      <w:r>
        <w:rPr>
          <w:sz w:val="22"/>
          <w:szCs w:val="22"/>
        </w:rPr>
      </w:r>
      <w:r/>
    </w:p>
    <w:p>
      <w:pPr>
        <w:pStyle w:val="663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Приложение 2</w:t>
      </w:r>
      <w:r/>
    </w:p>
    <w:p>
      <w:pPr>
        <w:pStyle w:val="663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от 06.02.2023 №158</w:t>
      </w:r>
      <w:r/>
      <w:r>
        <w:rPr>
          <w:sz w:val="22"/>
          <w:szCs w:val="22"/>
        </w:rPr>
      </w:r>
      <w:r/>
    </w:p>
    <w:p>
      <w:pPr>
        <w:pStyle w:val="663"/>
        <w:jc w:val="right"/>
        <w:tabs>
          <w:tab w:val="left" w:pos="9072" w:leader="none"/>
        </w:tabs>
      </w:pPr>
      <w:r/>
      <w:r/>
    </w:p>
    <w:p>
      <w:pPr>
        <w:pStyle w:val="663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3.1</w:t>
      </w:r>
      <w:r/>
    </w:p>
    <w:p>
      <w:pPr>
        <w:pStyle w:val="663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pStyle w:val="663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 </w:t>
      </w:r>
      <w:r/>
    </w:p>
    <w:p>
      <w:pPr>
        <w:pStyle w:val="663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города Сосновоборска на 2018-2025 годы»</w:t>
      </w:r>
      <w:r/>
    </w:p>
    <w:p>
      <w:pPr>
        <w:pStyle w:val="663"/>
        <w:ind w:firstLine="709"/>
        <w:jc w:val="both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63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pStyle w:val="663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5168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126"/>
        <w:gridCol w:w="1134"/>
        <w:gridCol w:w="992"/>
        <w:gridCol w:w="992"/>
        <w:gridCol w:w="992"/>
        <w:gridCol w:w="992"/>
        <w:gridCol w:w="850"/>
        <w:gridCol w:w="992"/>
        <w:gridCol w:w="992"/>
        <w:gridCol w:w="853"/>
      </w:tblGrid>
      <w:tr>
        <w:trPr>
          <w:cantSplit/>
          <w:trHeight w:val="7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Статус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муниципальной программы, Ответственный исполнитель, соисполнители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программы, отдельного мероприятия, источник финансирования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656" w:type="dxa"/>
            <w:vAlign w:val="top"/>
            <w:textDirection w:val="lrTb"/>
            <w:noWrap w:val="false"/>
          </w:tcPr>
          <w:p>
            <w:pPr>
              <w:pStyle w:val="6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6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Объемы бюджетный ассигнований (тыс.руб.)</w:t>
            </w:r>
            <w:r/>
          </w:p>
        </w:tc>
      </w:tr>
      <w:tr>
        <w:trPr>
          <w:cantSplit/>
          <w:trHeight w:val="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2018-2025 годы</w:t>
            </w:r>
            <w:r/>
          </w:p>
        </w:tc>
      </w:tr>
      <w:tr>
        <w:trPr>
          <w:cantSplit/>
          <w:trHeight w:val="3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Программа, 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bottom"/>
            <w:vMerge w:val="restart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г.Сосновоборска   Соисполнитель: МКУ «УКС и ЖКХ»; УКСТМУ; Управляющие компании, ТСЖ, ЖСК; Граждане, проживающие в муниципальном образовании город Сосновоборск; Предприятия, организации, учреждения</w:t>
            </w:r>
            <w:r/>
            <w:r>
              <w:rPr>
                <w:bCs/>
                <w:color w:val="000000"/>
                <w:sz w:val="22"/>
                <w:szCs w:val="22"/>
              </w:rPr>
            </w:r>
            <w:r/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всего: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13 378,7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15 942,5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14 582,7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16 756,3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178 617,9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12 751,9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13 594,7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266 836,3</w:t>
            </w:r>
            <w:r/>
          </w:p>
        </w:tc>
      </w:tr>
      <w:tr>
        <w:trPr>
          <w:cantSplit/>
          <w:trHeight w:val="40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6 566,7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13 046,3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11 690,9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10 568,7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87 013,4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11 102,3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12 327,9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152 316,1</w:t>
            </w:r>
            <w:r/>
          </w:p>
        </w:tc>
      </w:tr>
      <w:tr>
        <w:trPr>
          <w:cantSplit/>
          <w:trHeight w:val="37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5 542,7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686,6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50 542,8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648,8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59 832,4</w:t>
            </w:r>
            <w:r/>
          </w:p>
        </w:tc>
      </w:tr>
      <w:tr>
        <w:trPr>
          <w:cantSplit/>
          <w:trHeight w:val="42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1 370,6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1 901,3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5 631,4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40 628,9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618,0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52 026,3</w:t>
            </w:r>
            <w:r/>
          </w:p>
        </w:tc>
      </w:tr>
      <w:tr>
        <w:trPr>
          <w:cantSplit/>
          <w:trHeight w:val="15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Благоустройство дворовых территорий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restart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 </w:t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«УКС и ЖКХ», Граждане, проживающие в муниципальном образовании город</w:t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7 247,5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6 239,0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4 414,3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3 278,8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3 935,1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3 893,0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29 007,7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4 129,6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4 789,6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3 584,2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2 562,5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3 106,8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3 698,4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21 870,9</w:t>
            </w:r>
            <w:r/>
          </w:p>
        </w:tc>
      </w:tr>
      <w:tr>
        <w:trPr>
          <w:cantSplit/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2 542,3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163,5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194,7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3 476,1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348,9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261,1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148,8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981,1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18,2</w:t>
            </w:r>
            <w:r/>
          </w:p>
        </w:tc>
      </w:tr>
      <w:tr>
        <w:trPr>
          <w:cantSplit/>
          <w:trHeight w:val="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Благоустройство общественных территорий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restart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ЖКХ,</w:t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</w:t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«УКС и ЖКХ»</w:t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4 481,3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9 703,5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10 168,4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14 461,9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64 940,6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8 816,8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9 701,7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123 485,6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2 437,1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8 256,7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8 106,7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10 568,7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7 7</w:t>
            </w:r>
            <w:r>
              <w:rPr>
                <w:color w:val="000000"/>
                <w:sz w:val="20"/>
                <w:szCs w:val="20"/>
              </w:rPr>
              <w:t xml:space="preserve">51,0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7 995,6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8 629,5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53 745,2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434,6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50 407,9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420,8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454,2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655,5 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54 856,3</w:t>
            </w:r>
            <w:r/>
          </w:p>
        </w:tc>
      </w:tr>
      <w:tr>
        <w:trPr>
          <w:cantSplit/>
          <w:trHeight w:val="37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393,8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601,5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579,9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449,9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400,4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618,0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4 190,2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1 044,4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2 757,2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6 331,7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10 693,9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средства финансового участия заинтересованных лиц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Обустройства мест массового отдыха населения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bottom"/>
            <w:vMerge w:val="restart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УКСТМ</w:t>
            </w:r>
            <w:r/>
          </w:p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6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110 398,5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114 342,9</w:t>
            </w:r>
            <w:r/>
          </w:p>
        </w:tc>
      </w:tr>
      <w:tr>
        <w:trPr>
          <w:cantSplit/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268" w:type="dxa"/>
            <w:vAlign w:val="bottom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- 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76 700,0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76 700,0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33 698,5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36 142,9</w:t>
            </w:r>
            <w:r/>
          </w:p>
        </w:tc>
      </w:tr>
    </w:tbl>
    <w:p>
      <w:pPr>
        <w:pStyle w:val="663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63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</w:r>
      <w:r/>
    </w:p>
    <w:p>
      <w:pPr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Style w:val="663"/>
        <w:ind w:left="9072"/>
        <w:jc w:val="right"/>
        <w:tabs>
          <w:tab w:val="left" w:pos="9072" w:leader="none"/>
        </w:tabs>
        <w:rPr>
          <w:sz w:val="22"/>
          <w:szCs w:val="22"/>
          <w:highlight w:val="none"/>
        </w:rPr>
        <w:outlineLvl w:val="2"/>
      </w:pPr>
      <w:r>
        <w:rPr>
          <w:sz w:val="22"/>
          <w:szCs w:val="22"/>
        </w:rPr>
        <w:t xml:space="preserve">Приложение 3</w:t>
      </w:r>
      <w:r/>
    </w:p>
    <w:p>
      <w:pPr>
        <w:pStyle w:val="663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63"/>
        <w:jc w:val="right"/>
        <w:rPr>
          <w:color w:val="000000"/>
        </w:rPr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t xml:space="preserve">от 06.02.2023 №158</w:t>
      </w:r>
      <w:r/>
    </w:p>
    <w:p>
      <w:pPr>
        <w:pStyle w:val="663"/>
        <w:ind w:firstLine="709"/>
        <w:jc w:val="right"/>
        <w:tabs>
          <w:tab w:val="left" w:pos="9072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</w:r>
      <w:r/>
    </w:p>
    <w:p>
      <w:pPr>
        <w:pStyle w:val="663"/>
        <w:ind w:firstLine="709"/>
        <w:jc w:val="right"/>
        <w:tabs>
          <w:tab w:val="left" w:pos="90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4</w:t>
      </w:r>
      <w:r/>
    </w:p>
    <w:p>
      <w:pPr>
        <w:pStyle w:val="663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pStyle w:val="663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</w:t>
      </w:r>
      <w:r/>
    </w:p>
    <w:p>
      <w:pPr>
        <w:pStyle w:val="663"/>
        <w:ind w:firstLine="709"/>
        <w:jc w:val="right"/>
        <w:tabs>
          <w:tab w:val="left" w:pos="9072" w:leader="none"/>
        </w:tabs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города Сосновоборска на 2018-2025 годы»</w:t>
      </w:r>
      <w:r>
        <w:rPr>
          <w:color w:val="000000"/>
          <w:sz w:val="20"/>
          <w:szCs w:val="22"/>
        </w:rPr>
      </w:r>
      <w:r/>
    </w:p>
    <w:p>
      <w:pPr>
        <w:pStyle w:val="663"/>
        <w:ind w:firstLine="709"/>
        <w:jc w:val="both"/>
        <w:tabs>
          <w:tab w:val="left" w:pos="9072" w:leader="none"/>
        </w:tabs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</w:r>
      <w:r/>
    </w:p>
    <w:p>
      <w:pPr>
        <w:pStyle w:val="663"/>
        <w:ind w:left="567"/>
        <w:jc w:val="center"/>
      </w:pPr>
      <w:r/>
      <w:bookmarkEnd w:id="0"/>
      <w:r>
        <w:t xml:space="preserve">Перечень мероприятий программы "Формирование комфортной городской среды города Сосновоборска на 2018-2024 годы</w:t>
      </w:r>
      <w:r/>
    </w:p>
    <w:tbl>
      <w:tblPr>
        <w:tblW w:w="1957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6"/>
        <w:gridCol w:w="1989"/>
        <w:gridCol w:w="1007"/>
        <w:gridCol w:w="850"/>
        <w:gridCol w:w="837"/>
        <w:gridCol w:w="709"/>
        <w:gridCol w:w="695"/>
        <w:gridCol w:w="851"/>
        <w:gridCol w:w="992"/>
        <w:gridCol w:w="850"/>
        <w:gridCol w:w="709"/>
        <w:gridCol w:w="709"/>
        <w:gridCol w:w="709"/>
        <w:gridCol w:w="708"/>
        <w:gridCol w:w="834"/>
        <w:gridCol w:w="11"/>
        <w:gridCol w:w="15"/>
        <w:gridCol w:w="15"/>
        <w:gridCol w:w="25"/>
        <w:gridCol w:w="381"/>
        <w:gridCol w:w="420"/>
        <w:gridCol w:w="1147"/>
        <w:gridCol w:w="1385"/>
        <w:gridCol w:w="960"/>
        <w:gridCol w:w="960"/>
        <w:gridCol w:w="960"/>
      </w:tblGrid>
      <w:tr>
        <w:trPr>
          <w:cantSplit/>
          <w:gridAfter w:val="4"/>
          <w:trHeight w:val="5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9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gridAfter w:val="4"/>
          <w:trHeight w:val="66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2018-2025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4"/>
          <w:trHeight w:val="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программы - создание наиболее благоприятных и комфортных условий жизнедеятельности населения</w:t>
            </w:r>
            <w:r/>
          </w:p>
        </w:tc>
      </w:tr>
      <w:tr>
        <w:trPr>
          <w:gridAfter w:val="4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1.   Обеспечение формирования единого облика города Сосновоборска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Актуализация правил благоустройства города Сосновоборск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Применение лучших практик (проектов, дизайн-проектов) при благоустройстве дворов и общественных пространств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системной работы административной комиссии, рассматривающей дела о нарушении правил благоустройства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0"/>
        </w:trPr>
        <w:tc>
          <w:tcPr>
            <w:gridSpan w:val="7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- Обеспечение формирования единого облика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21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4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2.  Обеспечение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/>
          </w:p>
        </w:tc>
      </w:tr>
      <w:tr>
        <w:trPr>
          <w:gridAfter w:val="4"/>
          <w:trHeight w:val="28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11000R5550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6 671,9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6 671,9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21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5 390,6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4 033,9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9 424,5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471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2 846,1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3 425,9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3 893,0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10 165,0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471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1312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11000R5550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3 937,5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3 937,5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120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9 292,8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9 124,0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11 704,8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30 523,8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409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8 206,6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8 816,8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9 701,7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27 936,6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40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11000L5550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73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1100084330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1 044,4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2 757,2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4 532,2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93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1100084330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3 431,7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3 431,7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93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реализацию мероприятий по поддержке обустройства мест массового отдыха населения (городских парков)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11000R5600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13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поддержке обустройства мест массового отдыха населения (городских парков)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11000L5600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12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110F254240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70 000,0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72 294,4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2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110F25424</w:t>
            </w:r>
            <w:r>
              <w:rPr>
                <w:sz w:val="20"/>
                <w:szCs w:val="20"/>
                <w:lang w:val="en-US"/>
              </w:rPr>
              <w:t xml:space="preserve">F</w:t>
            </w: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6700,0</w:t>
            </w:r>
            <w:r>
              <w:rPr>
                <w:color w:val="000000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0,0</w:t>
            </w:r>
            <w:r>
              <w:rPr>
                <w:color w:val="000000"/>
                <w:sz w:val="20"/>
                <w:szCs w:val="20"/>
                <w:lang w:val="en-U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6700,0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2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комплекса мероприятий по благоустройству в рамках муниципальной программы "Формирование комфортной городской среды на 2018-202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 xml:space="preserve">гг. города Сосновоборска"</w:t>
            </w:r>
            <w:r/>
          </w:p>
          <w:p>
            <w:pPr>
              <w:pStyle w:val="6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1100084240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33 698,5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33 698,5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41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</w:t>
            </w:r>
            <w:r>
              <w:rPr>
                <w:color w:val="000000"/>
                <w:sz w:val="22"/>
                <w:szCs w:val="22"/>
              </w:rPr>
              <w:t xml:space="preserve">рование субсидии на реализацию мероприятий по благоустройству, направленных на формирование современной городской среды, как долевое участие муниципального образования в благоустройстве дворовых территорий, как собственника помещений в многоквартирном доме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11000S5550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14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  <w:lang w:val="en-US"/>
              </w:rPr>
              <w:t xml:space="preserve">F274510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общественного пространства города</w:t>
            </w:r>
            <w:r/>
          </w:p>
        </w:tc>
      </w:tr>
      <w:tr>
        <w:trPr>
          <w:gridAfter w:val="4"/>
          <w:trHeight w:val="14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  <w:lang w:val="en-US"/>
              </w:rPr>
              <w:t xml:space="preserve">F274510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общественного пространства города</w:t>
            </w:r>
            <w:r/>
          </w:p>
        </w:tc>
      </w:tr>
      <w:tr>
        <w:trPr>
          <w:trHeight w:val="7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по задаче - 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12 873,4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15 103,5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14 207,5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178 185,1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12 242,7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13 594,7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264 174,8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1385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10 996,1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77 405,6</w:t>
            </w:r>
            <w:r/>
          </w:p>
        </w:tc>
      </w:tr>
      <w:tr>
        <w:trPr>
          <w:gridAfter w:val="4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/>
          </w:p>
        </w:tc>
      </w:tr>
      <w:tr>
        <w:trPr>
          <w:gridAfter w:val="4"/>
          <w:trHeight w:val="12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Вовлечение заинтересованных граждан в реализацию мероприятий по благоустройству дворовых и общественных территорий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16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города Сосновоборска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общественной комиссии по развитию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3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-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4"/>
          <w:trHeight w:val="68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программе "Формирование комфортной городской среды города Сосновоборска на 2018-202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годы 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13 378,7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15 942,5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14 582,7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178 617,9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12 751,9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13 594,7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266 836,3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r/>
    </w:p>
    <w:sectPr>
      <w:footnotePr/>
      <w:endnotePr/>
      <w:type w:val="nextPage"/>
      <w:pgSz w:w="16840" w:h="11900" w:orient="landscape"/>
      <w:pgMar w:top="624" w:right="567" w:bottom="567" w:left="1134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1"/>
      <w:isLgl w:val="false"/>
      <w:suff w:val="tab"/>
      <w:lvlText w:val=""/>
      <w:lvlJc w:val="left"/>
      <w:pPr>
        <w:pStyle w:val="66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7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5208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57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30"/>
  </w:num>
  <w:num w:numId="5">
    <w:abstractNumId w:val="14"/>
  </w:num>
  <w:num w:numId="6">
    <w:abstractNumId w:val="3"/>
  </w:num>
  <w:num w:numId="7">
    <w:abstractNumId w:val="16"/>
  </w:num>
  <w:num w:numId="8">
    <w:abstractNumId w:val="32"/>
  </w:num>
  <w:num w:numId="9">
    <w:abstractNumId w:val="22"/>
  </w:num>
  <w:num w:numId="10">
    <w:abstractNumId w:val="1"/>
  </w:num>
  <w:num w:numId="11">
    <w:abstractNumId w:val="25"/>
  </w:num>
  <w:num w:numId="12">
    <w:abstractNumId w:val="26"/>
  </w:num>
  <w:num w:numId="13">
    <w:abstractNumId w:val="9"/>
  </w:num>
  <w:num w:numId="14">
    <w:abstractNumId w:val="15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1"/>
  </w:num>
  <w:num w:numId="19">
    <w:abstractNumId w:val="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9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3"/>
    <w:next w:val="66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3"/>
    <w:next w:val="66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3"/>
    <w:next w:val="66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3"/>
    <w:next w:val="66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3"/>
    <w:next w:val="66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3"/>
    <w:next w:val="66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3"/>
    <w:next w:val="66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3"/>
    <w:next w:val="66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3"/>
    <w:next w:val="66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3"/>
    <w:next w:val="66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3"/>
    <w:next w:val="66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3"/>
    <w:next w:val="66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3"/>
    <w:next w:val="66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next w:val="663"/>
    <w:link w:val="663"/>
    <w:qFormat/>
    <w:rPr>
      <w:sz w:val="24"/>
      <w:szCs w:val="24"/>
      <w:lang w:val="ru-RU" w:eastAsia="ru-RU" w:bidi="ar-SA"/>
    </w:rPr>
  </w:style>
  <w:style w:type="paragraph" w:styleId="664">
    <w:name w:val="Заголовок 1"/>
    <w:basedOn w:val="663"/>
    <w:next w:val="663"/>
    <w:link w:val="700"/>
    <w:qFormat/>
    <w:pPr>
      <w:jc w:val="center"/>
      <w:keepNext/>
      <w:outlineLvl w:val="0"/>
    </w:pPr>
    <w:rPr>
      <w:b/>
      <w:sz w:val="22"/>
      <w:szCs w:val="20"/>
    </w:rPr>
  </w:style>
  <w:style w:type="paragraph" w:styleId="665">
    <w:name w:val="Заголовок 2"/>
    <w:basedOn w:val="663"/>
    <w:next w:val="663"/>
    <w:link w:val="70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6">
    <w:name w:val="Заголовок 3"/>
    <w:basedOn w:val="663"/>
    <w:next w:val="663"/>
    <w:link w:val="69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7">
    <w:name w:val="Заголовок 4"/>
    <w:basedOn w:val="663"/>
    <w:next w:val="663"/>
    <w:link w:val="71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8">
    <w:name w:val="Заголовок 5"/>
    <w:basedOn w:val="663"/>
    <w:next w:val="663"/>
    <w:link w:val="72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9">
    <w:name w:val="Заголовок 6"/>
    <w:basedOn w:val="663"/>
    <w:next w:val="663"/>
    <w:link w:val="72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0">
    <w:name w:val="Заголовок 7"/>
    <w:basedOn w:val="663"/>
    <w:next w:val="663"/>
    <w:link w:val="72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1">
    <w:name w:val="Заголовок 8"/>
    <w:basedOn w:val="663"/>
    <w:next w:val="663"/>
    <w:link w:val="72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2">
    <w:name w:val="Заголовок 9"/>
    <w:basedOn w:val="663"/>
    <w:next w:val="663"/>
    <w:link w:val="72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3">
    <w:name w:val="Основной шрифт абзаца"/>
    <w:next w:val="673"/>
    <w:link w:val="663"/>
    <w:semiHidden/>
  </w:style>
  <w:style w:type="table" w:styleId="674">
    <w:name w:val="Обычная таблица"/>
    <w:next w:val="674"/>
    <w:link w:val="663"/>
    <w:semiHidden/>
    <w:tblPr/>
  </w:style>
  <w:style w:type="numbering" w:styleId="675">
    <w:name w:val="Нет списка"/>
    <w:next w:val="675"/>
    <w:link w:val="663"/>
    <w:uiPriority w:val="99"/>
    <w:semiHidden/>
  </w:style>
  <w:style w:type="table" w:styleId="676">
    <w:name w:val="Сетка таблицы"/>
    <w:basedOn w:val="674"/>
    <w:next w:val="676"/>
    <w:link w:val="663"/>
    <w:tblPr/>
  </w:style>
  <w:style w:type="character" w:styleId="677">
    <w:name w:val="Гиперссылка"/>
    <w:next w:val="677"/>
    <w:link w:val="663"/>
    <w:uiPriority w:val="99"/>
    <w:rPr>
      <w:color w:val="0000ff"/>
      <w:u w:val="single"/>
    </w:rPr>
  </w:style>
  <w:style w:type="paragraph" w:styleId="678">
    <w:name w:val="Текст выноски"/>
    <w:basedOn w:val="663"/>
    <w:next w:val="678"/>
    <w:link w:val="714"/>
    <w:uiPriority w:val="99"/>
    <w:semiHidden/>
    <w:rPr>
      <w:rFonts w:ascii="Tahoma" w:hAnsi="Tahoma" w:cs="Tahoma"/>
      <w:sz w:val="16"/>
      <w:szCs w:val="16"/>
    </w:rPr>
  </w:style>
  <w:style w:type="paragraph" w:styleId="679">
    <w:name w:val="Абзац списка,мой"/>
    <w:basedOn w:val="663"/>
    <w:next w:val="679"/>
    <w:link w:val="769"/>
    <w:uiPriority w:val="34"/>
    <w:qFormat/>
    <w:pPr>
      <w:contextualSpacing/>
      <w:ind w:left="720"/>
    </w:pPr>
  </w:style>
  <w:style w:type="paragraph" w:styleId="680">
    <w:name w:val="Основной текст с отступом"/>
    <w:basedOn w:val="663"/>
    <w:next w:val="680"/>
    <w:link w:val="681"/>
    <w:uiPriority w:val="99"/>
    <w:unhideWhenUsed/>
    <w:pPr>
      <w:ind w:firstLine="708"/>
      <w:jc w:val="both"/>
    </w:pPr>
    <w:rPr>
      <w:lang w:val="en-US" w:eastAsia="en-US"/>
    </w:rPr>
  </w:style>
  <w:style w:type="character" w:styleId="681">
    <w:name w:val="Основной текст с отступом Знак"/>
    <w:next w:val="681"/>
    <w:link w:val="680"/>
    <w:uiPriority w:val="99"/>
    <w:rPr>
      <w:sz w:val="24"/>
      <w:szCs w:val="24"/>
      <w:lang w:val="en-US" w:eastAsia="en-US"/>
    </w:rPr>
  </w:style>
  <w:style w:type="paragraph" w:styleId="682">
    <w:name w:val="Основной текст"/>
    <w:basedOn w:val="663"/>
    <w:next w:val="682"/>
    <w:link w:val="683"/>
    <w:uiPriority w:val="99"/>
    <w:unhideWhenUsed/>
    <w:pPr>
      <w:spacing w:after="120"/>
    </w:pPr>
    <w:rPr>
      <w:lang w:val="en-US" w:eastAsia="en-US"/>
    </w:rPr>
  </w:style>
  <w:style w:type="character" w:styleId="683">
    <w:name w:val="Основной текст Знак"/>
    <w:next w:val="683"/>
    <w:link w:val="682"/>
    <w:uiPriority w:val="99"/>
    <w:rPr>
      <w:sz w:val="24"/>
      <w:szCs w:val="24"/>
    </w:rPr>
  </w:style>
  <w:style w:type="paragraph" w:styleId="684">
    <w:name w:val="ConsPlusNormal"/>
    <w:next w:val="684"/>
    <w:link w:val="691"/>
    <w:rPr>
      <w:sz w:val="24"/>
      <w:szCs w:val="24"/>
      <w:lang w:val="ru-RU" w:eastAsia="ru-RU" w:bidi="ar-SA"/>
    </w:rPr>
  </w:style>
  <w:style w:type="character" w:styleId="685">
    <w:name w:val="Основной текст_"/>
    <w:next w:val="685"/>
    <w:link w:val="686"/>
    <w:rPr>
      <w:sz w:val="27"/>
      <w:szCs w:val="27"/>
      <w:shd w:val="clear" w:color="auto" w:fill="ffffff"/>
    </w:rPr>
  </w:style>
  <w:style w:type="paragraph" w:styleId="686">
    <w:name w:val="Основной текст1"/>
    <w:basedOn w:val="663"/>
    <w:next w:val="686"/>
    <w:link w:val="68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7">
    <w:name w:val="ConsPlusCell"/>
    <w:next w:val="687"/>
    <w:link w:val="663"/>
    <w:pPr>
      <w:widowControl w:val="off"/>
    </w:pPr>
    <w:rPr>
      <w:rFonts w:ascii="Arial" w:hAnsi="Arial" w:cs="Arial"/>
      <w:lang w:val="ru-RU" w:eastAsia="ru-RU" w:bidi="ar-SA"/>
    </w:rPr>
  </w:style>
  <w:style w:type="paragraph" w:styleId="688">
    <w:name w:val="ConsPlusTitle"/>
    <w:next w:val="688"/>
    <w:link w:val="66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9">
    <w:name w:val="ConsPlusNonformat"/>
    <w:next w:val="689"/>
    <w:link w:val="66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0">
    <w:name w:val="Заголовок 3 Знак"/>
    <w:next w:val="690"/>
    <w:link w:val="66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1">
    <w:name w:val="ConsPlusNormal Знак"/>
    <w:next w:val="691"/>
    <w:link w:val="684"/>
    <w:rPr>
      <w:sz w:val="24"/>
      <w:szCs w:val="24"/>
    </w:rPr>
  </w:style>
  <w:style w:type="character" w:styleId="692">
    <w:name w:val="Название Знак"/>
    <w:next w:val="692"/>
    <w:link w:val="663"/>
    <w:rPr>
      <w:rFonts w:ascii="Cambria" w:hAnsi="Cambria" w:eastAsia="Times New Roman" w:cs="Times New Roman"/>
      <w:b/>
      <w:bCs/>
      <w:sz w:val="32"/>
      <w:szCs w:val="32"/>
    </w:rPr>
  </w:style>
  <w:style w:type="paragraph" w:styleId="693">
    <w:name w:val="Заголовок"/>
    <w:basedOn w:val="663"/>
    <w:next w:val="663"/>
    <w:link w:val="69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4">
    <w:name w:val="Заголовок Знак"/>
    <w:next w:val="694"/>
    <w:link w:val="69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5">
    <w:name w:val="Без интервала"/>
    <w:next w:val="695"/>
    <w:link w:val="66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6">
    <w:name w:val="Заголовок №2_"/>
    <w:next w:val="696"/>
    <w:link w:val="697"/>
    <w:rPr>
      <w:sz w:val="19"/>
      <w:szCs w:val="19"/>
      <w:shd w:val="clear" w:color="auto" w:fill="ffffff"/>
    </w:rPr>
  </w:style>
  <w:style w:type="paragraph" w:styleId="697">
    <w:name w:val="Заголовок №2"/>
    <w:basedOn w:val="663"/>
    <w:next w:val="697"/>
    <w:link w:val="69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8">
    <w:name w:val="Основной текст + Интервал 0 pt"/>
    <w:next w:val="698"/>
    <w:link w:val="66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9">
    <w:name w:val="Обычный (веб)"/>
    <w:basedOn w:val="663"/>
    <w:next w:val="699"/>
    <w:link w:val="663"/>
    <w:uiPriority w:val="99"/>
    <w:unhideWhenUsed/>
    <w:pPr>
      <w:spacing w:before="100" w:beforeAutospacing="1" w:after="100" w:afterAutospacing="1"/>
    </w:pPr>
  </w:style>
  <w:style w:type="character" w:styleId="700">
    <w:name w:val="Заголовок 1 Знак"/>
    <w:next w:val="700"/>
    <w:link w:val="664"/>
    <w:rPr>
      <w:b/>
      <w:sz w:val="22"/>
    </w:rPr>
  </w:style>
  <w:style w:type="numbering" w:styleId="701">
    <w:name w:val="Стиль1"/>
    <w:next w:val="701"/>
    <w:link w:val="663"/>
    <w:uiPriority w:val="99"/>
    <w:pPr>
      <w:numPr>
        <w:numId w:val="1"/>
      </w:numPr>
    </w:pPr>
  </w:style>
  <w:style w:type="character" w:styleId="702">
    <w:name w:val="Строгий"/>
    <w:next w:val="702"/>
    <w:link w:val="663"/>
    <w:uiPriority w:val="22"/>
    <w:qFormat/>
    <w:rPr>
      <w:b/>
      <w:bCs/>
    </w:rPr>
  </w:style>
  <w:style w:type="character" w:styleId="703">
    <w:name w:val="Заголовок 2 Знак"/>
    <w:next w:val="703"/>
    <w:link w:val="66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4">
    <w:name w:val="Основной текст 2"/>
    <w:basedOn w:val="663"/>
    <w:next w:val="704"/>
    <w:link w:val="705"/>
    <w:semiHidden/>
    <w:unhideWhenUsed/>
    <w:pPr>
      <w:spacing w:after="120" w:line="480" w:lineRule="auto"/>
    </w:pPr>
  </w:style>
  <w:style w:type="character" w:styleId="705">
    <w:name w:val="Основной текст 2 Знак"/>
    <w:next w:val="705"/>
    <w:link w:val="704"/>
    <w:semiHidden/>
    <w:rPr>
      <w:sz w:val="24"/>
      <w:szCs w:val="24"/>
    </w:rPr>
  </w:style>
  <w:style w:type="table" w:styleId="706">
    <w:name w:val="Сетка таблицы1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7">
    <w:name w:val="ConsNonformat"/>
    <w:next w:val="707"/>
    <w:link w:val="66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8">
    <w:name w:val="Основной текст7"/>
    <w:basedOn w:val="663"/>
    <w:next w:val="708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9">
    <w:name w:val="Верхний колонтитул"/>
    <w:basedOn w:val="663"/>
    <w:next w:val="709"/>
    <w:link w:val="71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0">
    <w:name w:val="Верхний колонтитул Знак"/>
    <w:next w:val="710"/>
    <w:link w:val="709"/>
    <w:uiPriority w:val="99"/>
    <w:rPr>
      <w:sz w:val="24"/>
      <w:szCs w:val="24"/>
      <w:lang w:val="en-US" w:eastAsia="en-US"/>
    </w:rPr>
  </w:style>
  <w:style w:type="paragraph" w:styleId="711">
    <w:name w:val="Нижний колонтитул"/>
    <w:basedOn w:val="663"/>
    <w:next w:val="711"/>
    <w:link w:val="71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2">
    <w:name w:val="Нижний колонтитул Знак"/>
    <w:next w:val="712"/>
    <w:link w:val="711"/>
    <w:uiPriority w:val="99"/>
    <w:rPr>
      <w:sz w:val="24"/>
      <w:szCs w:val="24"/>
      <w:lang w:val="en-US" w:eastAsia="en-US"/>
    </w:rPr>
  </w:style>
  <w:style w:type="numbering" w:styleId="713">
    <w:name w:val="Нет списка1"/>
    <w:next w:val="675"/>
    <w:link w:val="663"/>
    <w:uiPriority w:val="99"/>
    <w:semiHidden/>
    <w:unhideWhenUsed/>
  </w:style>
  <w:style w:type="character" w:styleId="714">
    <w:name w:val="Текст выноски Знак"/>
    <w:next w:val="714"/>
    <w:link w:val="678"/>
    <w:uiPriority w:val="99"/>
    <w:semiHidden/>
    <w:rPr>
      <w:rFonts w:ascii="Tahoma" w:hAnsi="Tahoma" w:cs="Tahoma"/>
      <w:sz w:val="16"/>
      <w:szCs w:val="16"/>
    </w:rPr>
  </w:style>
  <w:style w:type="paragraph" w:styleId="715">
    <w:name w:val=" Знак"/>
    <w:basedOn w:val="663"/>
    <w:next w:val="715"/>
    <w:link w:val="66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6">
    <w:name w:val="Нет списка2"/>
    <w:next w:val="675"/>
    <w:link w:val="663"/>
    <w:uiPriority w:val="99"/>
    <w:semiHidden/>
    <w:unhideWhenUsed/>
  </w:style>
  <w:style w:type="numbering" w:styleId="717">
    <w:name w:val="Нет списка3"/>
    <w:next w:val="675"/>
    <w:link w:val="663"/>
    <w:uiPriority w:val="99"/>
    <w:semiHidden/>
    <w:unhideWhenUsed/>
  </w:style>
  <w:style w:type="paragraph" w:styleId="718">
    <w:name w:val="Default"/>
    <w:next w:val="718"/>
    <w:link w:val="663"/>
    <w:rPr>
      <w:color w:val="000000"/>
      <w:sz w:val="24"/>
      <w:szCs w:val="24"/>
      <w:lang w:val="ru-RU" w:eastAsia="ru-RU" w:bidi="ar-SA"/>
    </w:rPr>
  </w:style>
  <w:style w:type="character" w:styleId="719">
    <w:name w:val="Заголовок 4 Знак"/>
    <w:next w:val="719"/>
    <w:link w:val="667"/>
    <w:uiPriority w:val="9"/>
    <w:semiHidden/>
    <w:rPr>
      <w:rFonts w:ascii="Calibri" w:hAnsi="Calibri"/>
      <w:b/>
      <w:bCs/>
      <w:sz w:val="28"/>
      <w:szCs w:val="28"/>
    </w:rPr>
  </w:style>
  <w:style w:type="character" w:styleId="720">
    <w:name w:val="Заголовок 5 Знак"/>
    <w:next w:val="720"/>
    <w:link w:val="66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1">
    <w:name w:val="Заголовок 6 Знак"/>
    <w:next w:val="721"/>
    <w:link w:val="669"/>
    <w:uiPriority w:val="9"/>
    <w:semiHidden/>
    <w:rPr>
      <w:rFonts w:ascii="Calibri" w:hAnsi="Calibri"/>
      <w:b/>
      <w:bCs/>
      <w:sz w:val="22"/>
      <w:szCs w:val="22"/>
    </w:rPr>
  </w:style>
  <w:style w:type="character" w:styleId="722">
    <w:name w:val="Заголовок 7 Знак"/>
    <w:next w:val="722"/>
    <w:link w:val="670"/>
    <w:uiPriority w:val="9"/>
    <w:semiHidden/>
    <w:rPr>
      <w:rFonts w:ascii="Calibri" w:hAnsi="Calibri"/>
      <w:sz w:val="22"/>
      <w:szCs w:val="22"/>
    </w:rPr>
  </w:style>
  <w:style w:type="character" w:styleId="723">
    <w:name w:val="Заголовок 8 Знак"/>
    <w:next w:val="723"/>
    <w:link w:val="671"/>
    <w:uiPriority w:val="9"/>
    <w:semiHidden/>
    <w:rPr>
      <w:rFonts w:ascii="Calibri" w:hAnsi="Calibri"/>
      <w:i/>
      <w:iCs/>
      <w:sz w:val="22"/>
      <w:szCs w:val="22"/>
    </w:rPr>
  </w:style>
  <w:style w:type="character" w:styleId="724">
    <w:name w:val="Заголовок 9 Знак"/>
    <w:next w:val="724"/>
    <w:link w:val="672"/>
    <w:uiPriority w:val="9"/>
    <w:semiHidden/>
    <w:rPr>
      <w:rFonts w:ascii="Cambria" w:hAnsi="Cambria"/>
      <w:sz w:val="22"/>
      <w:szCs w:val="22"/>
    </w:rPr>
  </w:style>
  <w:style w:type="paragraph" w:styleId="725">
    <w:name w:val="Подзаголовок"/>
    <w:basedOn w:val="663"/>
    <w:next w:val="663"/>
    <w:link w:val="72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6">
    <w:name w:val="Подзаголовок Знак"/>
    <w:next w:val="726"/>
    <w:link w:val="725"/>
    <w:uiPriority w:val="11"/>
    <w:rPr>
      <w:rFonts w:ascii="Cambria" w:hAnsi="Cambria"/>
      <w:sz w:val="22"/>
      <w:szCs w:val="22"/>
    </w:rPr>
  </w:style>
  <w:style w:type="character" w:styleId="727">
    <w:name w:val="Выделение"/>
    <w:next w:val="727"/>
    <w:link w:val="663"/>
    <w:qFormat/>
    <w:rPr>
      <w:rFonts w:ascii="Calibri" w:hAnsi="Calibri"/>
      <w:b/>
      <w:i/>
      <w:iCs/>
    </w:rPr>
  </w:style>
  <w:style w:type="paragraph" w:styleId="728">
    <w:name w:val="Цитата 2"/>
    <w:basedOn w:val="663"/>
    <w:next w:val="663"/>
    <w:link w:val="72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9">
    <w:name w:val="Цитата 2 Знак"/>
    <w:next w:val="729"/>
    <w:link w:val="728"/>
    <w:uiPriority w:val="29"/>
    <w:rPr>
      <w:rFonts w:ascii="Calibri" w:hAnsi="Calibri"/>
      <w:i/>
      <w:sz w:val="22"/>
      <w:szCs w:val="22"/>
    </w:rPr>
  </w:style>
  <w:style w:type="paragraph" w:styleId="730">
    <w:name w:val="Выделенная цитата"/>
    <w:basedOn w:val="663"/>
    <w:next w:val="663"/>
    <w:link w:val="73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1">
    <w:name w:val="Выделенная цитата Знак"/>
    <w:next w:val="731"/>
    <w:link w:val="730"/>
    <w:uiPriority w:val="30"/>
    <w:rPr>
      <w:rFonts w:ascii="Calibri" w:hAnsi="Calibri"/>
      <w:b/>
      <w:i/>
      <w:sz w:val="22"/>
      <w:szCs w:val="22"/>
    </w:rPr>
  </w:style>
  <w:style w:type="character" w:styleId="732">
    <w:name w:val="Слабое выделение"/>
    <w:next w:val="732"/>
    <w:link w:val="663"/>
    <w:uiPriority w:val="19"/>
    <w:qFormat/>
    <w:rPr>
      <w:i/>
      <w:color w:val="5a5a5a"/>
    </w:rPr>
  </w:style>
  <w:style w:type="character" w:styleId="733">
    <w:name w:val="Сильное выделение"/>
    <w:next w:val="733"/>
    <w:link w:val="663"/>
    <w:uiPriority w:val="21"/>
    <w:qFormat/>
    <w:rPr>
      <w:b/>
      <w:i/>
      <w:sz w:val="24"/>
      <w:szCs w:val="24"/>
      <w:u w:val="single"/>
    </w:rPr>
  </w:style>
  <w:style w:type="character" w:styleId="734">
    <w:name w:val="Слабая ссылка"/>
    <w:next w:val="734"/>
    <w:link w:val="663"/>
    <w:uiPriority w:val="31"/>
    <w:qFormat/>
    <w:rPr>
      <w:sz w:val="24"/>
      <w:szCs w:val="24"/>
      <w:u w:val="single"/>
    </w:rPr>
  </w:style>
  <w:style w:type="character" w:styleId="735">
    <w:name w:val="Сильная ссылка"/>
    <w:next w:val="735"/>
    <w:link w:val="663"/>
    <w:uiPriority w:val="32"/>
    <w:qFormat/>
    <w:rPr>
      <w:b/>
      <w:sz w:val="24"/>
      <w:u w:val="single"/>
    </w:rPr>
  </w:style>
  <w:style w:type="character" w:styleId="736">
    <w:name w:val="Название книги"/>
    <w:next w:val="736"/>
    <w:link w:val="66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7">
    <w:name w:val="Заголовок оглавления"/>
    <w:basedOn w:val="664"/>
    <w:next w:val="663"/>
    <w:link w:val="66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8">
    <w:name w:val="Основной текст с отступом 3"/>
    <w:basedOn w:val="663"/>
    <w:next w:val="738"/>
    <w:link w:val="739"/>
    <w:unhideWhenUsed/>
    <w:pPr>
      <w:ind w:left="283"/>
      <w:spacing w:after="120"/>
    </w:pPr>
    <w:rPr>
      <w:sz w:val="16"/>
      <w:szCs w:val="16"/>
    </w:rPr>
  </w:style>
  <w:style w:type="character" w:styleId="739">
    <w:name w:val="Основной текст с отступом 3 Знак"/>
    <w:next w:val="739"/>
    <w:link w:val="738"/>
    <w:rPr>
      <w:sz w:val="16"/>
      <w:szCs w:val="16"/>
    </w:rPr>
  </w:style>
  <w:style w:type="paragraph" w:styleId="740">
    <w:name w:val="Знак"/>
    <w:basedOn w:val="663"/>
    <w:next w:val="740"/>
    <w:link w:val="66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1">
    <w:name w:val="Просмотренная гиперссылка"/>
    <w:next w:val="741"/>
    <w:link w:val="663"/>
    <w:uiPriority w:val="99"/>
    <w:semiHidden/>
    <w:unhideWhenUsed/>
    <w:rPr>
      <w:color w:val="800080"/>
      <w:u w:val="single"/>
    </w:rPr>
  </w:style>
  <w:style w:type="paragraph" w:styleId="742">
    <w:name w:val="ConsTitle"/>
    <w:next w:val="742"/>
    <w:link w:val="66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3">
    <w:name w:val="ConsNormal"/>
    <w:next w:val="743"/>
    <w:link w:val="66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4">
    <w:name w:val=" Знак Знак1"/>
    <w:basedOn w:val="663"/>
    <w:next w:val="744"/>
    <w:link w:val="66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5">
    <w:name w:val="Колонтитул (2)_"/>
    <w:next w:val="745"/>
    <w:link w:val="750"/>
  </w:style>
  <w:style w:type="character" w:styleId="746">
    <w:name w:val="Основной текст (2)_"/>
    <w:next w:val="746"/>
    <w:link w:val="751"/>
  </w:style>
  <w:style w:type="character" w:styleId="747">
    <w:name w:val="Заголовок №1_"/>
    <w:next w:val="747"/>
    <w:link w:val="752"/>
    <w:rPr>
      <w:b/>
      <w:bCs/>
    </w:rPr>
  </w:style>
  <w:style w:type="character" w:styleId="748">
    <w:name w:val="Другое_"/>
    <w:next w:val="748"/>
    <w:link w:val="753"/>
  </w:style>
  <w:style w:type="character" w:styleId="749">
    <w:name w:val="Подпись к таблице_"/>
    <w:next w:val="749"/>
    <w:link w:val="754"/>
  </w:style>
  <w:style w:type="paragraph" w:styleId="750">
    <w:name w:val="Колонтитул (2)"/>
    <w:basedOn w:val="663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"/>
    <w:basedOn w:val="663"/>
    <w:next w:val="751"/>
    <w:link w:val="746"/>
    <w:pPr>
      <w:ind w:left="5600"/>
      <w:widowControl w:val="off"/>
    </w:pPr>
    <w:rPr>
      <w:sz w:val="20"/>
      <w:szCs w:val="20"/>
    </w:rPr>
  </w:style>
  <w:style w:type="paragraph" w:styleId="752">
    <w:name w:val="Заголовок №1"/>
    <w:basedOn w:val="663"/>
    <w:next w:val="752"/>
    <w:link w:val="74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3">
    <w:name w:val="Другое"/>
    <w:basedOn w:val="663"/>
    <w:next w:val="753"/>
    <w:link w:val="748"/>
    <w:pPr>
      <w:widowControl w:val="off"/>
    </w:pPr>
    <w:rPr>
      <w:sz w:val="20"/>
      <w:szCs w:val="20"/>
    </w:rPr>
  </w:style>
  <w:style w:type="paragraph" w:styleId="754">
    <w:name w:val="Подпись к таблице"/>
    <w:basedOn w:val="663"/>
    <w:next w:val="754"/>
    <w:link w:val="749"/>
    <w:pPr>
      <w:widowControl w:val="off"/>
    </w:pPr>
    <w:rPr>
      <w:sz w:val="20"/>
      <w:szCs w:val="20"/>
    </w:rPr>
  </w:style>
  <w:style w:type="paragraph" w:styleId="755">
    <w:name w:val="Основной текст (2)1"/>
    <w:basedOn w:val="663"/>
    <w:next w:val="755"/>
    <w:link w:val="66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6">
    <w:name w:val="Основной текст (2) + 9 pt"/>
    <w:next w:val="756"/>
    <w:link w:val="663"/>
    <w:uiPriority w:val="99"/>
    <w:rPr>
      <w:rFonts w:cs="Times New Roman"/>
      <w:sz w:val="18"/>
      <w:szCs w:val="18"/>
      <w:shd w:val="clear" w:color="auto" w:fill="ffffff"/>
    </w:rPr>
  </w:style>
  <w:style w:type="character" w:styleId="757">
    <w:name w:val="Основной текст (2) + 9 pt2,Полужирный2,Курсив2"/>
    <w:next w:val="757"/>
    <w:link w:val="66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8">
    <w:name w:val="Основной текст (3)_"/>
    <w:next w:val="758"/>
    <w:link w:val="759"/>
    <w:rPr>
      <w:sz w:val="21"/>
      <w:szCs w:val="21"/>
      <w:shd w:val="clear" w:color="auto" w:fill="ffffff"/>
    </w:rPr>
  </w:style>
  <w:style w:type="paragraph" w:styleId="759">
    <w:name w:val="Основной текст (3)"/>
    <w:basedOn w:val="663"/>
    <w:next w:val="759"/>
    <w:link w:val="75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0">
    <w:name w:val="Основной текст3"/>
    <w:basedOn w:val="663"/>
    <w:next w:val="760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1">
    <w:name w:val="1"/>
    <w:basedOn w:val="663"/>
    <w:next w:val="761"/>
    <w:link w:val="66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2">
    <w:name w:val="Цитата"/>
    <w:basedOn w:val="663"/>
    <w:next w:val="762"/>
    <w:link w:val="663"/>
    <w:pPr>
      <w:ind w:left="851" w:right="1274"/>
      <w:jc w:val="center"/>
    </w:pPr>
    <w:rPr>
      <w:b/>
      <w:sz w:val="28"/>
      <w:szCs w:val="20"/>
    </w:rPr>
  </w:style>
  <w:style w:type="paragraph" w:styleId="763">
    <w:name w:val="formattext topleveltext"/>
    <w:basedOn w:val="663"/>
    <w:next w:val="763"/>
    <w:link w:val="663"/>
    <w:pPr>
      <w:spacing w:before="100" w:beforeAutospacing="1" w:after="100" w:afterAutospacing="1"/>
    </w:pPr>
  </w:style>
  <w:style w:type="paragraph" w:styleId="764">
    <w:name w:val="Абзац списка1"/>
    <w:basedOn w:val="663"/>
    <w:next w:val="764"/>
    <w:link w:val="663"/>
    <w:pPr>
      <w:ind w:left="720"/>
      <w:spacing w:line="276" w:lineRule="auto"/>
    </w:pPr>
  </w:style>
  <w:style w:type="paragraph" w:styleId="765">
    <w:name w:val="Standard"/>
    <w:next w:val="765"/>
    <w:link w:val="66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6">
    <w:name w:val="Сетка таблицы2"/>
    <w:basedOn w:val="674"/>
    <w:next w:val="676"/>
    <w:link w:val="66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7">
    <w:name w:val="Сетка таблицы3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8">
    <w:name w:val="Прижатый влево"/>
    <w:basedOn w:val="663"/>
    <w:next w:val="663"/>
    <w:link w:val="663"/>
    <w:rPr>
      <w:rFonts w:ascii="Arial" w:hAnsi="Arial"/>
      <w:sz w:val="20"/>
      <w:szCs w:val="20"/>
    </w:rPr>
  </w:style>
  <w:style w:type="character" w:styleId="769">
    <w:name w:val="Абзац списка Знак,мой Знак"/>
    <w:next w:val="769"/>
    <w:link w:val="679"/>
    <w:uiPriority w:val="34"/>
    <w:rPr>
      <w:sz w:val="24"/>
      <w:szCs w:val="24"/>
    </w:rPr>
  </w:style>
  <w:style w:type="character" w:styleId="10156" w:default="1">
    <w:name w:val="Default Paragraph Font"/>
    <w:uiPriority w:val="1"/>
    <w:semiHidden/>
    <w:unhideWhenUsed/>
  </w:style>
  <w:style w:type="numbering" w:styleId="10157" w:default="1">
    <w:name w:val="No List"/>
    <w:uiPriority w:val="99"/>
    <w:semiHidden/>
    <w:unhideWhenUsed/>
  </w:style>
  <w:style w:type="table" w:styleId="101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478</cp:revision>
  <dcterms:created xsi:type="dcterms:W3CDTF">2020-03-19T03:57:00Z</dcterms:created>
  <dcterms:modified xsi:type="dcterms:W3CDTF">2023-02-07T02:14:32Z</dcterms:modified>
  <cp:version>983040</cp:version>
</cp:coreProperties>
</file>