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pStyle w:val="69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</w:pPr>
            <w:r/>
            <w:r/>
          </w:p>
          <w:p>
            <w:pPr>
              <w:pStyle w:val="98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pPr>
              <w:ind w:left="-113"/>
            </w:pPr>
            <w:r>
              <w:t xml:space="preserve">21 ноября 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             №1554</w:t>
            </w:r>
            <w:r/>
          </w:p>
          <w:p>
            <w:r/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pStyle w:val="899"/>
        <w:ind w:left="0" w:right="410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публичного сервитута в </w:t>
      </w:r>
      <w:bookmarkStart w:id="0" w:name="_GoBack"/>
      <w:r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отношении земель, находящихся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и муниципальной собственности, для подключения (технологического присоединения) к сетям инженерно-техноло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гического обеспечения согласно Техническим условиям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электроснабжения повысительной насосной станции (ПНС) в 11 микрорайоне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сновоборска, №86 от 25.09.2023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целях размещения линии электропередач, расположенной по адресу: Красноярский край, г. Сосновоборск, 11 микрорайон от ТП 10/0,4кВ №65 и ТП 10/0,4кВ 630 кВА ЖСК «Восток» до коллектора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/>
    </w:p>
    <w:p>
      <w:pPr>
        <w:rPr>
          <w:lang w:eastAsia="zh-CN"/>
        </w:rPr>
      </w:pPr>
      <w:r>
        <w:rPr>
          <w:lang w:eastAsia="zh-CN"/>
        </w:rPr>
      </w:r>
      <w:r/>
    </w:p>
    <w:p>
      <w:pPr>
        <w:rPr>
          <w:lang w:eastAsia="zh-CN"/>
        </w:rPr>
      </w:pPr>
      <w:r>
        <w:rPr>
          <w:lang w:eastAsia="zh-CN"/>
        </w:rPr>
      </w:r>
      <w:r/>
    </w:p>
    <w:p>
      <w:pPr>
        <w:pStyle w:val="974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установления права ограниченного пользования чужим земельным участком (публичный сервитут), 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.7 Земельного кодекса Российской Федерации, на основании ходатайства Муниципального унитарного предприятия «Жилищно-коммунальный сервис» г.Сосновоборска, руководствуясь статьями 26, 38 Устава города Сосновоборска Красноярского края,</w:t>
      </w:r>
      <w:r/>
    </w:p>
    <w:p>
      <w:pPr>
        <w:pStyle w:val="974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32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публич</w:t>
      </w:r>
      <w:r>
        <w:rPr>
          <w:sz w:val="28"/>
          <w:szCs w:val="28"/>
        </w:rPr>
        <w:t xml:space="preserve">ный сервитут в интересах МУП «Жилкомсервис» (ОГРН 1022400559499, ИНН 2458008862), площадью 623 кв.м, в отношении земель, находящихся в государственной и муниципальной собственности, для подключения (технологического присоединения) к сетям инженерно-техноло</w:t>
      </w:r>
      <w:r>
        <w:rPr>
          <w:sz w:val="28"/>
          <w:szCs w:val="28"/>
        </w:rPr>
        <w:t xml:space="preserve">гического обеспечения согласно Техническим условиям</w:t>
      </w:r>
      <w:r>
        <w:rPr>
          <w:sz w:val="28"/>
          <w:szCs w:val="28"/>
        </w:rPr>
        <w:t xml:space="preserve"> для электроснабжения повысительной насосной станции (ПНС) в</w:t>
      </w:r>
      <w:r>
        <w:rPr>
          <w:sz w:val="28"/>
          <w:szCs w:val="28"/>
        </w:rPr>
        <w:t xml:space="preserve"> 11 микрорайоне г.Сосновоборска №86 от 25.09.2023</w:t>
      </w:r>
      <w:r>
        <w:rPr>
          <w:sz w:val="28"/>
          <w:szCs w:val="28"/>
        </w:rPr>
        <w:t xml:space="preserve"> в целях размещения линии электропередач, расположенной по адресу: Красноярский край, г. Сосновоборск, 11 микрорайон </w:t>
      </w:r>
      <w:r>
        <w:rPr>
          <w:sz w:val="28"/>
          <w:szCs w:val="28"/>
        </w:rPr>
        <w:t xml:space="preserve">от ТП 10/0,4кВ №65 и ТП 10/0,4кВ 630 кВА ЖСК «Восток» до коллектора,  на частях следующих  земельных участков:</w:t>
      </w:r>
      <w:r/>
    </w:p>
    <w:p>
      <w:pPr>
        <w:ind w:left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- на земельный участок из земель населенных пунктов, находящийся</w:t>
      </w:r>
      <w:r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 кадастровым номером 24:56:0201011:1325, местоположение: Российская Федерация,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Красноярский край, г. Сосновоборск,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XI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микрорайон;</w:t>
      </w:r>
      <w:r/>
    </w:p>
    <w:p>
      <w:pPr>
        <w:pStyle w:val="7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 на земельный участок из земель населенных пунктов, находящийся</w:t>
      </w:r>
      <w:r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 кадастровым номером 24:00:0000000:5816, местоположение: Россия, Красноярский край, г. Сосновоборск, ул. 9-й пятилетки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pStyle w:val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 земельный участок из земель населенных пунктов, находящийся в</w:t>
      </w:r>
      <w:r>
        <w:rPr>
          <w:rFonts w:ascii="Times New Roman" w:hAnsi="Times New Roman"/>
          <w:sz w:val="28"/>
          <w:szCs w:val="28"/>
        </w:rPr>
        <w:t xml:space="preserve">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 с кадастровым номером 24:56:0201011:290, местоположение установлено относительно ориентира, расположенного за пределами участка. Почтовый адрес ориентира: Красноярский край, г. Сосновоборск,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XI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микрорайон.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 Публичный сервитут устанавливается сроком на 49 (сорок девять) лет.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плату за публичный сервитут в отношении земель, находящихся в государственной собственности в размере 0,1 процента от кадастровой стоимости земель, обремененных сервитутом, за весь срок сервитута.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сервитут, установленный </w:t>
      </w:r>
      <w:r>
        <w:rPr>
          <w:rFonts w:eastAsia="Calibri"/>
          <w:sz w:val="28"/>
          <w:szCs w:val="28"/>
          <w:lang w:eastAsia="en-US"/>
        </w:rPr>
        <w:t xml:space="preserve">в отношении земель, находящихся в государственной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 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Плата за публичный сервитут в отношении земель, находящихся в муниципальной собственности и предоставленных гражданам или юридическим лицам, определяется в соответств</w:t>
      </w:r>
      <w:r>
        <w:rPr>
          <w:sz w:val="28"/>
          <w:szCs w:val="28"/>
        </w:rPr>
        <w:t xml:space="preserve">ии с Федеральным законом «Об оценочной деятельности в Российской Федерации». 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</w:t>
      </w:r>
      <w:r>
        <w:rPr>
          <w:sz w:val="28"/>
          <w:szCs w:val="28"/>
        </w:rPr>
        <w:t xml:space="preserve">рвитута.</w:t>
      </w:r>
      <w:r/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 вносится правообладателю земельного участка, с которым заключено соглашение об осуществлении публичного сервитута, единовременным платежом, не позднее шести месяцев со дня принятия решения об установлении публичного сервитута.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границы публичного сервитута в соответствии с описанием границ (прилагается).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Обладатель публичного сервитута обя</w:t>
      </w:r>
      <w:r>
        <w:rPr>
          <w:sz w:val="28"/>
          <w:szCs w:val="28"/>
        </w:rPr>
        <w:t xml:space="preserve">зан привести земельные участки в состояние, пригодное для их использования в соответствии с разрешенным использованием, в срок не позднее, чем три месяца после размещения линии электропередач 0,4кВ, для размещения которой был установлен публичный сервитут.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Управлению делами и кадрами администрации города Сосновоборска (Е.Ю. Качаева) в течение пяти рабочих дней: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 Обеспечить размещение настоящего постановления об установлении публичного сервитута на официальном сайте администрации города Сосновоборска </w:t>
      </w:r>
      <w:hyperlink r:id="rId10" w:tooltip="http://www.sosnovoborsk-city.ru" w:history="1">
        <w:r>
          <w:rPr>
            <w:rStyle w:val="871"/>
            <w:color w:val="000000"/>
            <w:sz w:val="28"/>
            <w:szCs w:val="28"/>
            <w:u w:val="none"/>
            <w:lang w:val="en-US"/>
          </w:rPr>
          <w:t xml:space="preserve">www</w:t>
        </w:r>
        <w:r>
          <w:rPr>
            <w:rStyle w:val="871"/>
            <w:color w:val="000000"/>
            <w:sz w:val="28"/>
            <w:szCs w:val="28"/>
            <w:u w:val="none"/>
          </w:rPr>
          <w:t xml:space="preserve">.</w:t>
        </w:r>
        <w:r>
          <w:rPr>
            <w:rStyle w:val="871"/>
            <w:color w:val="000000"/>
            <w:sz w:val="28"/>
            <w:szCs w:val="28"/>
            <w:u w:val="none"/>
            <w:lang w:val="en-US"/>
          </w:rPr>
          <w:t xml:space="preserve">sosnovoborsk</w:t>
        </w:r>
        <w:r>
          <w:rPr>
            <w:rStyle w:val="871"/>
            <w:color w:val="000000"/>
            <w:sz w:val="28"/>
            <w:szCs w:val="28"/>
            <w:u w:val="none"/>
          </w:rPr>
          <w:t xml:space="preserve">-</w:t>
        </w:r>
        <w:r>
          <w:rPr>
            <w:rStyle w:val="871"/>
            <w:color w:val="000000"/>
            <w:sz w:val="28"/>
            <w:szCs w:val="28"/>
            <w:u w:val="none"/>
            <w:lang w:val="en-US"/>
          </w:rPr>
          <w:t xml:space="preserve">city</w:t>
        </w:r>
        <w:r>
          <w:rPr>
            <w:rStyle w:val="871"/>
            <w:color w:val="000000"/>
            <w:sz w:val="28"/>
            <w:szCs w:val="28"/>
            <w:u w:val="none"/>
          </w:rPr>
          <w:t xml:space="preserve">.</w:t>
        </w:r>
        <w:r>
          <w:rPr>
            <w:rStyle w:val="871"/>
            <w:color w:val="000000"/>
            <w:sz w:val="28"/>
            <w:szCs w:val="28"/>
            <w:u w:val="none"/>
            <w:lang w:val="en-US"/>
          </w:rPr>
          <w:t xml:space="preserve">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«Интернет»;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 Обеспечить опубликование настоящего постановления об установлении публичного сервитута в городской газете «Рабочий».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 Управлению градостроительства, имущественных и земельных отношений администрации города Сосновоборска (Свентицкая Н.Е.)</w:t>
      </w:r>
      <w:r>
        <w:t xml:space="preserve"> </w:t>
      </w:r>
      <w:r>
        <w:rPr>
          <w:sz w:val="28"/>
          <w:szCs w:val="28"/>
        </w:rPr>
        <w:t xml:space="preserve">в течение пяти рабочих дней с даты принятия настоящего постановления: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8.1. Обеспечить направление копии постановления правообладателям земельных участков, в отношении которых принято решение об установлении публичного сервитута, с уведомлением о вручении почтовому адресату;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8.2. Обеспечить направление копии постановления об установлении публичного сервитута в Управление государственной регистрации, кадастра и картографии по Красноярскому краю;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8.3. Обеспечить направлени</w:t>
      </w:r>
      <w:r>
        <w:rPr>
          <w:sz w:val="28"/>
          <w:szCs w:val="28"/>
        </w:rPr>
        <w:t xml:space="preserve">е обладателю публичного сервитута копии постановления об установлении публичного сервитута, сведений о лицах, являющихся правообладателями земельных участков, способах связи с ними, копий документов, подтверждающих права указанных лиц на земельные участки.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 Публичный сервитут считается установленным со дня внесения сведений о нем в Единый государственный реестр недвижимости.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10.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А.С. Кудрявцев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right"/>
        <w:rPr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919"/>
        <w:jc w:val="right"/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919"/>
        <w:jc w:val="right"/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919"/>
        <w:jc w:val="right"/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919"/>
        <w:jc w:val="right"/>
        <w:rPr>
          <w:highlight w:val="none"/>
          <w:lang w:val="ru-RU"/>
        </w:rPr>
      </w:pPr>
      <w:r>
        <w:rPr>
          <w:lang w:val="ru-RU"/>
        </w:rPr>
        <w:t xml:space="preserve">Приложение </w:t>
      </w:r>
      <w:r/>
    </w:p>
    <w:p>
      <w:pPr>
        <w:pStyle w:val="919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  <w:r/>
    </w:p>
    <w:p>
      <w:pPr>
        <w:pStyle w:val="919"/>
        <w:jc w:val="right"/>
        <w:rPr>
          <w:lang w:val="ru-RU"/>
        </w:rPr>
      </w:pPr>
      <w:r>
        <w:rPr>
          <w:lang w:val="ru-RU"/>
        </w:rPr>
        <w:t xml:space="preserve">г. Сосновоборска Красноярского края              </w:t>
      </w:r>
      <w:r/>
    </w:p>
    <w:p>
      <w:pPr>
        <w:pStyle w:val="919"/>
        <w:jc w:val="right"/>
        <w:rPr>
          <w:lang w:val="ru-RU"/>
        </w:rPr>
      </w:pPr>
      <w:r>
        <w:rPr>
          <w:lang w:val="ru-RU"/>
        </w:rPr>
        <w:t xml:space="preserve"> от  21.11.2023  №1554</w:t>
      </w:r>
      <w:r/>
    </w:p>
    <w:p>
      <w:pPr>
        <w:spacing w:before="60" w:after="30"/>
      </w:pPr>
      <w:r/>
      <w:r/>
    </w:p>
    <w:p>
      <w:pPr>
        <w:jc w:val="center"/>
        <w:spacing w:before="60" w:after="30"/>
      </w:pPr>
      <w:r>
        <w:t xml:space="preserve">ОПИСАНИЕ МЕСТОПОЛОЖЕНИЯ ГРАНИЦ</w:t>
      </w:r>
      <w:r/>
    </w:p>
    <w:p>
      <w:pPr>
        <w:jc w:val="center"/>
        <w:spacing w:before="240" w:after="40"/>
      </w:pPr>
      <w:r>
        <w:t xml:space="preserve">Публичный сервитут для </w:t>
      </w:r>
      <w:r>
        <w:rPr>
          <w:color w:val="000000"/>
          <w:shd w:val="clear" w:color="auto" w:fill="ffffff"/>
        </w:rPr>
        <w:t xml:space="preserve">подключения (технологического присоединения) к сетям инженерно-технического обеспечения</w:t>
      </w:r>
      <w:r>
        <w:rPr>
          <w:color w:val="000000"/>
          <w:shd w:val="clear" w:color="auto" w:fill="ffffff"/>
        </w:rPr>
        <w:t xml:space="preserve"> </w:t>
      </w:r>
      <w:r>
        <w:t xml:space="preserve">в целях </w:t>
      </w:r>
      <w:r>
        <w:t xml:space="preserve">размещения линии электропередач,</w:t>
      </w:r>
      <w:r>
        <w:t xml:space="preserve"> расположенный по адресу: Красноярский край, г. Сосновоборск, </w:t>
      </w:r>
      <w:r>
        <w:t xml:space="preserve">11 микрорайон от ТП 10/0,</w:t>
      </w:r>
      <w:r>
        <w:t xml:space="preserve">4кВ</w:t>
      </w:r>
      <w:r>
        <w:t xml:space="preserve"> №65 и ТП 10/0,</w:t>
      </w:r>
      <w:r>
        <w:t xml:space="preserve">4кВ 630 кВА ЖСК «Восток»</w:t>
      </w:r>
      <w:r>
        <w:t xml:space="preserve"> до коллектора</w:t>
      </w:r>
      <w:r>
        <w:rPr>
          <w:sz w:val="14"/>
        </w:rPr>
        <w:t xml:space="preserve">    (наименование объекта, местоположение границ которого описано (далее - объект)</w:t>
      </w:r>
      <w:r/>
    </w:p>
    <w:p>
      <w:pPr>
        <w:jc w:val="center"/>
        <w:spacing w:before="120" w:after="120"/>
      </w:pPr>
      <w:r>
        <w:t xml:space="preserve">Раздел 1</w:t>
      </w:r>
      <w:r/>
    </w:p>
    <w:tbl>
      <w:tblPr>
        <w:tblW w:w="9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959"/>
        <w:gridCol w:w="5214"/>
        <w:gridCol w:w="3648"/>
      </w:tblGrid>
      <w:tr>
        <w:trPr>
          <w:cantSplit/>
          <w:trHeight w:val="380"/>
          <w:tblHeader/>
        </w:trPr>
        <w:tc>
          <w:tcPr>
            <w:gridSpan w:val="3"/>
            <w:shd w:val="clear" w:color="auto" w:fill="auto"/>
            <w:tcW w:w="9821" w:type="dxa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Сведения об объекте</w:t>
            </w:r>
            <w:r/>
          </w:p>
        </w:tc>
      </w:tr>
      <w:tr>
        <w:trPr>
          <w:cantSplit/>
          <w:trHeight w:val="362"/>
          <w:tblHeader/>
        </w:trPr>
        <w:tc>
          <w:tcPr>
            <w:shd w:val="clear" w:color="auto" w:fill="auto"/>
            <w:tcW w:w="959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N п/п</w:t>
            </w:r>
            <w:r/>
          </w:p>
        </w:tc>
        <w:tc>
          <w:tcPr>
            <w:shd w:val="clear" w:color="auto" w:fill="auto"/>
            <w:tcW w:w="5214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Характеристики объекта</w:t>
            </w:r>
            <w:r/>
          </w:p>
        </w:tc>
        <w:tc>
          <w:tcPr>
            <w:shd w:val="clear" w:color="auto" w:fill="auto"/>
            <w:tcW w:w="3648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Описание характеристик</w:t>
            </w:r>
            <w:r/>
          </w:p>
        </w:tc>
      </w:tr>
      <w:tr>
        <w:trPr>
          <w:cantSplit/>
          <w:trHeight w:val="253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3648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>
          <w:trHeight w:val="507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5214" w:type="dxa"/>
            <w:textDirection w:val="lrTb"/>
            <w:noWrap w:val="false"/>
          </w:tcPr>
          <w:p>
            <w:r>
              <w:t xml:space="preserve">Местоположение объекта</w:t>
            </w:r>
            <w:r/>
          </w:p>
        </w:tc>
        <w:tc>
          <w:tcPr>
            <w:shd w:val="clear" w:color="auto" w:fill="auto"/>
            <w:tcW w:w="364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t xml:space="preserve">Красноярский край, г. Сосновоборск, </w:t>
            </w:r>
            <w:r>
              <w:t xml:space="preserve">11 микрорайон от ТП 10/0,</w:t>
            </w:r>
            <w:r>
              <w:t xml:space="preserve">4кВ</w:t>
            </w:r>
            <w:r>
              <w:t xml:space="preserve"> №65 и ТП 10/0,4кВ </w:t>
            </w:r>
            <w:r>
              <w:t xml:space="preserve">630 кВА ЖСК «Восток</w:t>
            </w:r>
            <w:r>
              <w:t xml:space="preserve"> до коллектора</w:t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5214" w:type="dxa"/>
            <w:textDirection w:val="lrTb"/>
            <w:noWrap w:val="false"/>
          </w:tcPr>
          <w:p>
            <w:r>
              <w:t xml:space="preserve">Площадь объекта ± величина погрешности определения площади (P ± ∆P), м²</w:t>
            </w:r>
            <w:r/>
          </w:p>
          <w:p>
            <w:r>
              <w:t xml:space="preserve">Площадь ЧЗУ/1(</w:t>
            </w:r>
            <w:r>
              <w:t xml:space="preserve">24:56:0201011</w:t>
            </w:r>
            <w:r>
              <w:t xml:space="preserve">:290) объекта ± величина погрешности определения площади (P ± ∆P), м²</w:t>
            </w:r>
            <w:r/>
          </w:p>
          <w:p>
            <w:r>
              <w:t xml:space="preserve">Площадь ЧЗУ/2(</w:t>
            </w:r>
            <w:r>
              <w:t xml:space="preserve">24:56:0201011</w:t>
            </w:r>
            <w:r>
              <w:t xml:space="preserve">:1325) объекта ± величина погрешности определения площади (P ± ∆P), м²</w:t>
            </w:r>
            <w:r/>
          </w:p>
          <w:p>
            <w:r>
              <w:t xml:space="preserve">Площадь ЧЗУ/3 (24:00:0000000:5816) объекта ± величина погрешности определения площади (P ± ∆P), м²</w:t>
            </w:r>
            <w:r/>
          </w:p>
          <w:p>
            <w:r/>
            <w:r/>
          </w:p>
        </w:tc>
        <w:tc>
          <w:tcPr>
            <w:shd w:val="clear" w:color="auto" w:fill="auto"/>
            <w:tcW w:w="3648" w:type="dxa"/>
            <w:textDirection w:val="lrTb"/>
            <w:noWrap w:val="false"/>
          </w:tcPr>
          <w:p>
            <w:r>
              <w:t xml:space="preserve">623</w:t>
            </w:r>
            <w:r>
              <w:t xml:space="preserve"> ± </w:t>
            </w:r>
            <w:r>
              <w:t xml:space="preserve">10</w:t>
            </w:r>
            <w:r/>
          </w:p>
          <w:p>
            <w:r/>
            <w:r/>
          </w:p>
          <w:p>
            <w:r>
              <w:t xml:space="preserve">25</w:t>
            </w:r>
            <w:r>
              <w:t xml:space="preserve"> ± </w:t>
            </w:r>
            <w:r>
              <w:t xml:space="preserve">4</w:t>
            </w:r>
            <w:r/>
          </w:p>
          <w:p>
            <w:r/>
            <w:r/>
          </w:p>
          <w:p>
            <w:r>
              <w:t xml:space="preserve">563</w:t>
            </w:r>
            <w:r>
              <w:t xml:space="preserve"> ± </w:t>
            </w:r>
            <w:r>
              <w:t xml:space="preserve">9</w:t>
            </w:r>
            <w:r/>
          </w:p>
          <w:p>
            <w:r/>
            <w:r/>
          </w:p>
          <w:p>
            <w:r>
              <w:t xml:space="preserve">35</w:t>
            </w:r>
            <w:r>
              <w:t xml:space="preserve"> ± </w:t>
            </w:r>
            <w:r>
              <w:t xml:space="preserve">5</w:t>
            </w:r>
            <w:r/>
          </w:p>
          <w:p>
            <w:r/>
            <w:r/>
          </w:p>
        </w:tc>
      </w:tr>
      <w:tr>
        <w:trPr>
          <w:trHeight w:val="384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5214" w:type="dxa"/>
            <w:textDirection w:val="lrTb"/>
            <w:noWrap w:val="false"/>
          </w:tcPr>
          <w:p>
            <w:r>
              <w:t xml:space="preserve">Иные характеристики объекта</w:t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shd w:val="clear" w:color="auto" w:fill="auto"/>
            <w:tcW w:w="3648" w:type="dxa"/>
            <w:textDirection w:val="lrTb"/>
            <w:noWrap w:val="false"/>
          </w:tcPr>
          <w:p>
            <w:r>
              <w:t xml:space="preserve">Публичный сервитут  для </w:t>
            </w:r>
            <w:r>
              <w:rPr>
                <w:color w:val="000000"/>
                <w:shd w:val="clear" w:color="auto" w:fill="ffffff"/>
              </w:rPr>
              <w:t xml:space="preserve">подключения (технологического присоединения) к сетям инженерно-технического обеспечения </w:t>
            </w:r>
            <w:r>
              <w:t xml:space="preserve"> согласно </w:t>
            </w:r>
            <w:r>
              <w:t xml:space="preserve">«Технических условий для электроснабжения повысительной насосной станции (ПНС) в 11 микрорайоне г.Сосновоборска, </w:t>
            </w:r>
            <w:r>
              <w:rPr>
                <w:color w:val="000000"/>
              </w:rPr>
              <w:t xml:space="preserve">№</w:t>
            </w:r>
            <w:r>
              <w:rPr>
                <w:color w:val="000000"/>
                <w:u w:val="single"/>
              </w:rPr>
              <w:t xml:space="preserve">86</w:t>
            </w:r>
            <w:r>
              <w:rPr>
                <w:color w:val="000000"/>
              </w:rPr>
              <w:t xml:space="preserve"> от 2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  <w:t xml:space="preserve">.0</w:t>
            </w:r>
            <w:r>
              <w:rPr>
                <w:color w:val="000000"/>
              </w:rPr>
              <w:t xml:space="preserve">9</w:t>
            </w:r>
            <w:r>
              <w:rPr>
                <w:color w:val="000000"/>
              </w:rPr>
              <w:t xml:space="preserve">.2023г »</w:t>
            </w:r>
            <w:r>
              <w:t xml:space="preserve"> в целях размещения линии электропередач, расположенн</w:t>
            </w:r>
            <w:r>
              <w:t xml:space="preserve">ой</w:t>
            </w:r>
            <w:r>
              <w:t xml:space="preserve"> по адресу: Красноярский край, г. Сосновоборск, </w:t>
            </w:r>
            <w:r>
              <w:t xml:space="preserve">11 микрорайон от ТП 10/0,</w:t>
            </w:r>
            <w:r>
              <w:t xml:space="preserve">4кВ</w:t>
            </w:r>
            <w:r>
              <w:t xml:space="preserve"> №65 и ТП 10/0,</w:t>
            </w:r>
            <w:r>
              <w:t xml:space="preserve">4 630 кВА ЖСК «Восток</w:t>
            </w:r>
            <w:r>
              <w:t xml:space="preserve"> до коллектора, </w:t>
            </w:r>
            <w:r>
              <w:t xml:space="preserve">в границах земельных участков </w:t>
            </w:r>
            <w:r>
              <w:t xml:space="preserve">24:56:0201011:1325,</w:t>
            </w:r>
            <w:r>
              <w:t xml:space="preserve"> </w:t>
            </w:r>
            <w:r>
              <w:t xml:space="preserve">24:00:0000000:5816</w:t>
            </w:r>
            <w:r>
              <w:t xml:space="preserve">, </w:t>
            </w:r>
            <w:r>
              <w:t xml:space="preserve">24:56:0201011:290</w:t>
            </w:r>
            <w:r>
              <w:t xml:space="preserve"> </w:t>
            </w:r>
            <w:r>
              <w:t xml:space="preserve">в границах кадастрового квартала, </w:t>
            </w:r>
            <w:r>
              <w:t xml:space="preserve">24:56:0201011</w:t>
            </w:r>
            <w:r>
              <w:t xml:space="preserve">, </w:t>
            </w:r>
            <w:r>
              <w:t xml:space="preserve">сроком на 49 лет.</w:t>
            </w:r>
            <w:r/>
          </w:p>
        </w:tc>
      </w:tr>
    </w:tbl>
    <w:p>
      <w:pPr>
        <w:sectPr>
          <w:footnotePr/>
          <w:endnotePr/>
          <w:type w:val="nextPage"/>
          <w:pgSz w:w="11900" w:h="16840" w:orient="portrait"/>
          <w:pgMar w:top="567" w:right="851" w:bottom="567" w:left="1418" w:header="448" w:footer="210" w:gutter="0"/>
          <w:cols w:num="1" w:sep="0" w:space="708" w:equalWidth="1"/>
          <w:docGrid w:linePitch="360"/>
        </w:sectPr>
      </w:pPr>
      <w:r/>
      <w:r/>
    </w:p>
    <w:p>
      <w:pPr>
        <w:jc w:val="center"/>
        <w:spacing w:before="120" w:after="120"/>
      </w:pPr>
      <w:r>
        <w:t xml:space="preserve">Раздел 2</w:t>
      </w:r>
      <w:r/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332"/>
        <w:gridCol w:w="1332"/>
        <w:gridCol w:w="2094"/>
        <w:gridCol w:w="2090"/>
        <w:gridCol w:w="1516"/>
      </w:tblGrid>
      <w:tr>
        <w:trPr>
          <w:cantSplit/>
          <w:tblHeader/>
        </w:trPr>
        <w:tc>
          <w:tcPr>
            <w:gridSpan w:val="6"/>
            <w:shd w:val="clear" w:color="auto" w:fill="auto"/>
            <w:tcW w:w="9923" w:type="dxa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Сведения о местоположении границ объекта</w:t>
            </w:r>
            <w:r/>
          </w:p>
        </w:tc>
      </w:tr>
      <w:tr>
        <w:trPr>
          <w:cantSplit/>
          <w:tblHeader/>
        </w:trPr>
        <w:tc>
          <w:tcPr>
            <w:gridSpan w:val="6"/>
            <w:shd w:val="clear" w:color="auto" w:fill="auto"/>
            <w:tcW w:w="9923" w:type="dxa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1. Система координат МСК 167</w:t>
            </w:r>
            <w:r/>
          </w:p>
        </w:tc>
      </w:tr>
      <w:tr>
        <w:trPr>
          <w:cantSplit/>
          <w:tblHeader/>
        </w:trPr>
        <w:tc>
          <w:tcPr>
            <w:gridSpan w:val="6"/>
            <w:shd w:val="clear" w:color="auto" w:fill="auto"/>
            <w:tcW w:w="9923" w:type="dxa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shd w:val="clear" w:color="auto" w:fill="auto"/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</w:p>
        </w:tc>
        <w:tc>
          <w:tcPr>
            <w:gridSpan w:val="2"/>
            <w:shd w:val="clear" w:color="auto" w:fill="auto"/>
            <w:tcW w:w="2664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Координаты, м</w:t>
            </w:r>
            <w:r/>
          </w:p>
        </w:tc>
        <w:tc>
          <w:tcPr>
            <w:shd w:val="clear" w:color="auto" w:fill="auto"/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shd w:val="clear" w:color="auto" w:fill="auto"/>
            <w:tcW w:w="20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shd w:val="clear" w:color="auto" w:fill="auto"/>
            <w:tcW w:w="15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W w:w="155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20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20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5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643447.3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128374.42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643437.58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128365.83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643437.48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128362.27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н4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643437.14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128350.85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643334.95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128267.27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н6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643326.8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128259.19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н7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643319.39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128219.73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643317.73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128208.73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н9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643312.21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128201.25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н10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643301.12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128181.96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643301.56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128174.04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н12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643303.71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128171.08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643319.05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128158.58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н14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643331.75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128141.27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643332.85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128139.77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н16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643335.44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128137.4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н17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643340.04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128132.24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643338.5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128130.97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н19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643333.98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128136.03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н20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643331.43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128138.37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643330.21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128140.04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н22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643317.52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128157.3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643302.35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128169.61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н24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643299.58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128173.63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643299.11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128182.2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н26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643310.51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128202.32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643315.64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128209.43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н27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643317.43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128220.13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643324.89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128259.87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н29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643333.65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128268.8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н30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643343.57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128276.83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643435.15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128351.36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н32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643435.47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128362.07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643433.17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128364.91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н34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643434.48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128366.04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н35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643445.98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128375.92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643447.3</w:t>
            </w:r>
            <w:r/>
          </w:p>
        </w:tc>
        <w:tc>
          <w:tcPr>
            <w:shd w:val="clear" w:color="auto" w:fill="auto"/>
            <w:tcW w:w="13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128374.42</w:t>
            </w:r>
            <w:r/>
          </w:p>
        </w:tc>
        <w:tc>
          <w:tcPr>
            <w:shd w:val="clear" w:color="auto" w:fill="auto"/>
            <w:tcW w:w="209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0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51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1416"/>
        <w:gridCol w:w="1253"/>
        <w:gridCol w:w="1253"/>
        <w:gridCol w:w="2078"/>
        <w:gridCol w:w="2167"/>
        <w:gridCol w:w="1756"/>
      </w:tblGrid>
      <w:tr>
        <w:trPr>
          <w:cantSplit/>
          <w:tblHeader/>
        </w:trPr>
        <w:tc>
          <w:tcPr>
            <w:gridSpan w:val="6"/>
            <w:shd w:val="clear" w:color="auto" w:fill="auto"/>
            <w:tcW w:w="9923" w:type="dxa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shd w:val="clear" w:color="auto" w:fill="auto"/>
            <w:tcW w:w="14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части границы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Координаты, м</w:t>
            </w:r>
            <w:r/>
          </w:p>
        </w:tc>
        <w:tc>
          <w:tcPr>
            <w:shd w:val="clear" w:color="auto" w:fill="auto"/>
            <w:tcW w:w="20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shd w:val="clear" w:color="auto" w:fill="auto"/>
            <w:tcW w:w="21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shd w:val="clear" w:color="auto" w:fill="auto"/>
            <w:tcW w:w="17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W w:w="141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75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ЧЗУ/1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643331.75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128141.27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643332.85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128139.77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н16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643335.44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128137.4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н17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643340.04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128132.24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643338.5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128130.97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н19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643333.98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128136.03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н20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643331.43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128138.37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643330.21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128140.04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643331.75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128141.27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ЧЗУ/2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643437.48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128362.27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643437.14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128350.85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643334.95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128267.27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н6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643326.8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128259.19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н7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643319.39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128219.73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643317.73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128208.73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н9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643312.21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128201.25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н10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643301.12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128181.96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643301.56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128174.04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н12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643303.71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128171.08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643319.05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128158.58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643331.75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128141.27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643330.21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128140.04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н22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643317.52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128157.3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643302.35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128169.61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643299.58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128173.63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643299.11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128182.2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н26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643310.51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128202.32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643315.64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128209.43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н27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643317.43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128220.13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643324.89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128259.87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н29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643333.65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128268.8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н30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643343.57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128276.83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643435.15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128351.36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н32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643435.47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128362.07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643433.17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128364.91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643434.48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128366.04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643437.48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128362.27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ЧЗУ/3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643447.3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128374.42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643437.58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128365.83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643437.48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128362.27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н34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643434.48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128366.04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н35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643445.98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128375.92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643447.3</w:t>
            </w:r>
            <w:r/>
          </w:p>
        </w:tc>
        <w:tc>
          <w:tcPr>
            <w:shd w:val="clear" w:color="auto" w:fill="auto"/>
            <w:tcW w:w="125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128374.42</w:t>
            </w:r>
            <w:r/>
          </w:p>
        </w:tc>
        <w:tc>
          <w:tcPr>
            <w:shd w:val="clear" w:color="auto" w:fill="auto"/>
            <w:tcW w:w="207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75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p>
      <w:pPr>
        <w:spacing w:before="120" w:after="120"/>
        <w:tabs>
          <w:tab w:val="center" w:pos="5099" w:leader="none"/>
          <w:tab w:val="right" w:pos="10199" w:leader="none"/>
        </w:tabs>
      </w:pPr>
      <w:r>
        <w:tab/>
        <w:t xml:space="preserve">Раздел 3</w:t>
      </w:r>
      <w:r>
        <w:tab/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1436"/>
        <w:gridCol w:w="923"/>
        <w:gridCol w:w="922"/>
        <w:gridCol w:w="858"/>
        <w:gridCol w:w="858"/>
        <w:gridCol w:w="1495"/>
        <w:gridCol w:w="1759"/>
        <w:gridCol w:w="1466"/>
      </w:tblGrid>
      <w:tr>
        <w:trPr>
          <w:cantSplit/>
          <w:tblHeader/>
        </w:trPr>
        <w:tc>
          <w:tcPr>
            <w:gridSpan w:val="8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Сведения о местоположении измененных (уточненных) границ объекта</w:t>
            </w:r>
            <w:r/>
          </w:p>
        </w:tc>
      </w:tr>
      <w:tr>
        <w:trPr>
          <w:cantSplit/>
          <w:tblHeader/>
        </w:trPr>
        <w:tc>
          <w:tcPr>
            <w:gridSpan w:val="8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1. Система координат МСК 167</w:t>
            </w:r>
            <w:r/>
          </w:p>
        </w:tc>
      </w:tr>
      <w:tr>
        <w:trPr>
          <w:cantSplit/>
          <w:tblHeader/>
        </w:trPr>
        <w:tc>
          <w:tcPr>
            <w:gridSpan w:val="8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shd w:val="clear" w:color="auto" w:fill="auto"/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Существующие координаты, м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м</w:t>
            </w:r>
            <w:r/>
          </w:p>
        </w:tc>
        <w:tc>
          <w:tcPr>
            <w:shd w:val="clear" w:color="auto" w:fill="auto"/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shd w:val="clear" w:color="auto" w:fill="auto"/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shd w:val="clear" w:color="auto" w:fill="auto"/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</w:p>
        </w:tc>
      </w:tr>
      <w:tr>
        <w:trPr/>
        <w:tc>
          <w:tcPr>
            <w:shd w:val="clear" w:color="auto" w:fill="auto"/>
            <w:tcW w:w="16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7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1418"/>
        <w:gridCol w:w="967"/>
        <w:gridCol w:w="966"/>
        <w:gridCol w:w="954"/>
        <w:gridCol w:w="954"/>
        <w:gridCol w:w="1396"/>
        <w:gridCol w:w="1680"/>
        <w:gridCol w:w="1382"/>
      </w:tblGrid>
      <w:tr>
        <w:trPr>
          <w:cantSplit/>
          <w:tblHeader/>
        </w:trPr>
        <w:tc>
          <w:tcPr>
            <w:gridSpan w:val="8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shd w:val="clear" w:color="auto" w:fill="auto"/>
            <w:tcW w:w="14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части границы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Существующие координаты, м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м</w:t>
            </w:r>
            <w:r/>
          </w:p>
        </w:tc>
        <w:tc>
          <w:tcPr>
            <w:shd w:val="clear" w:color="auto" w:fill="auto"/>
            <w:tcW w:w="14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shd w:val="clear" w:color="auto" w:fill="auto"/>
            <w:tcW w:w="17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shd w:val="clear" w:color="auto" w:fill="auto"/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923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92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858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858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</w:p>
        </w:tc>
      </w:tr>
      <w:tr>
        <w:trPr/>
        <w:tc>
          <w:tcPr>
            <w:shd w:val="clear" w:color="auto" w:fill="auto"/>
            <w:tcW w:w="143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92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922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85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85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49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5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466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9821" w:type="dxa"/>
        <w:tblBorders>
          <w:top w:val="single" w:color="auto" w:sz="4" w:space="0"/>
          <w:left w:val="single" w:color="auto" w:sz="4" w:space="0"/>
          <w:bottom w:val="none" w:color="000000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981"/>
        <w:gridCol w:w="8840"/>
      </w:tblGrid>
      <w:tr>
        <w:trPr>
          <w:cantSplit/>
        </w:trPr>
        <w:tc>
          <w:tcPr>
            <w:gridSpan w:val="2"/>
            <w:shd w:val="clear" w:color="auto" w:fill="auto"/>
            <w:tcW w:w="9821" w:type="dxa"/>
            <w:textDirection w:val="lrTb"/>
            <w:noWrap w:val="false"/>
          </w:tcPr>
          <w:p>
            <w:pPr>
              <w:jc w:val="center"/>
              <w:spacing w:before="60" w:after="60"/>
            </w:pPr>
            <w:r>
              <w:t xml:space="preserve">Раздел 4</w:t>
            </w:r>
            <w:r/>
          </w:p>
        </w:tc>
      </w:tr>
      <w:tr>
        <w:trPr>
          <w:cantSplit/>
        </w:trPr>
        <w:tc>
          <w:tcPr>
            <w:gridSpan w:val="2"/>
            <w:shd w:val="clear" w:color="auto" w:fill="auto"/>
            <w:tcW w:w="9821" w:type="dxa"/>
            <w:textDirection w:val="lrTb"/>
            <w:noWrap w:val="false"/>
          </w:tcPr>
          <w:p>
            <w:pPr>
              <w:jc w:val="center"/>
              <w:spacing w:before="60" w:after="60"/>
            </w:pPr>
            <w:r>
              <w:t xml:space="preserve">План границ объекта</w:t>
            </w:r>
            <w:r/>
          </w:p>
        </w:tc>
      </w:tr>
      <w:tr>
        <w:trPr/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982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77000" cy="6124575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77000" cy="612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10.0pt;height:482.3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</w:tcBorders>
            <w:tcW w:w="9821" w:type="dxa"/>
            <w:textDirection w:val="lrTb"/>
            <w:noWrap w:val="false"/>
          </w:tcPr>
          <w:p>
            <w:pPr>
              <w:jc w:val="center"/>
              <w:keepLines/>
              <w:keepNext/>
            </w:pPr>
            <w:r/>
            <w:bookmarkStart w:id="1" w:name="MP_PLAN_PAGE"/>
            <w:r/>
            <w:r/>
          </w:p>
          <w:p>
            <w:pPr>
              <w:jc w:val="center"/>
              <w:keepLines/>
              <w:keepNext/>
            </w:pPr>
            <w:r>
              <w:t xml:space="preserve">Масштаб 1:1500</w:t>
            </w:r>
            <w:bookmarkEnd w:id="1"/>
            <w:r/>
            <w:r/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21" w:type="dxa"/>
            <w:textDirection w:val="lrTb"/>
            <w:noWrap w:val="false"/>
          </w:tcPr>
          <w:p>
            <w:pPr>
              <w:jc w:val="center"/>
              <w:keepLines/>
              <w:keepNext/>
            </w:pPr>
            <w:r/>
            <w:bookmarkStart w:id="2" w:name="MP_PLAN_USL_PAGE"/>
            <w:r>
              <w:t xml:space="preserve">Условные обозначения</w:t>
            </w:r>
            <w:bookmarkEnd w:id="2"/>
            <w:r/>
            <w:r/>
          </w:p>
        </w:tc>
      </w:tr>
      <w:tr>
        <w:trPr/>
        <w:tc>
          <w:tcPr>
            <w:shd w:val="clear" w:color="auto" w:fill="auto"/>
            <w:tcW w:w="981" w:type="dxa"/>
            <w:textDirection w:val="lrTb"/>
            <w:noWrap w:val="false"/>
          </w:tcPr>
          <w:p>
            <w:pPr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8840" w:type="dxa"/>
            <w:textDirection w:val="lrTb"/>
            <w:noWrap w:val="false"/>
          </w:tcPr>
          <w:p>
            <w:r>
              <w:t xml:space="preserve">Характерная точка границы, сведения о которой позволяют однозначно определить ее положение на местности</w:t>
            </w:r>
            <w:r/>
          </w:p>
        </w:tc>
      </w:tr>
      <w:tr>
        <w:trPr/>
        <w:tc>
          <w:tcPr>
            <w:shd w:val="clear" w:color="auto" w:fill="auto"/>
            <w:tcW w:w="981" w:type="dxa"/>
            <w:textDirection w:val="lrTb"/>
            <w:noWrap w:val="false"/>
          </w:tcPr>
          <w:p>
            <w:pPr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8840" w:type="dxa"/>
            <w:textDirection w:val="lrTb"/>
            <w:noWrap w:val="false"/>
          </w:tcPr>
          <w:p>
            <w:r>
              <w:t xml:space="preserve">Вновь образованная часть границы, сведения о которой достаточны для определения ее местоположения</w:t>
            </w:r>
            <w:r/>
          </w:p>
        </w:tc>
      </w:tr>
      <w:tr>
        <w:trPr/>
        <w:tc>
          <w:tcPr>
            <w:shd w:val="clear" w:color="auto" w:fill="auto"/>
            <w:tcW w:w="981" w:type="dxa"/>
            <w:textDirection w:val="lrTb"/>
            <w:noWrap w:val="false"/>
          </w:tcPr>
          <w:p>
            <w:pPr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r/>
            <w:r/>
          </w:p>
          <w:p>
            <w:pPr>
              <w:tabs>
                <w:tab w:val="left" w:pos="750" w:leader="none"/>
              </w:tabs>
            </w:pPr>
            <w:r>
              <w:tab/>
            </w:r>
            <w:r/>
          </w:p>
        </w:tc>
        <w:tc>
          <w:tcPr>
            <w:shd w:val="clear" w:color="auto" w:fill="auto"/>
            <w:tcW w:w="8840" w:type="dxa"/>
            <w:textDirection w:val="lrTb"/>
            <w:noWrap w:val="false"/>
          </w:tcPr>
          <w:p>
            <w:r>
              <w:t xml:space="preserve">Объект капитального строительства</w:t>
            </w:r>
            <w:r/>
          </w:p>
          <w:p>
            <w:r/>
            <w:r/>
          </w:p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fixed"/>
              <w:tblCellMar>
                <w:left w:w="40" w:type="dxa"/>
                <w:top w:w="20" w:type="dxa"/>
                <w:right w:w="40" w:type="dxa"/>
                <w:bottom w:w="2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3084"/>
              <w:gridCol w:w="3000"/>
            </w:tblGrid>
            <w:tr>
              <w:trPr/>
              <w:tc>
                <w:tcPr>
                  <w:shd w:val="clear" w:color="auto" w:fill="auto"/>
                  <w:tcW w:w="2400" w:type="dxa"/>
                  <w:textDirection w:val="lrTb"/>
                  <w:noWrap w:val="false"/>
                </w:tcPr>
                <w:p>
                  <w:pPr>
                    <w:spacing w:before="400" w:after="40"/>
                  </w:pPr>
                  <w:r>
                    <w:t xml:space="preserve">Кадастровый инженер:</w:t>
                  </w:r>
                  <w:r/>
                </w:p>
              </w:tc>
              <w:tc>
                <w:tcPr>
                  <w:shd w:val="clear" w:color="auto" w:fill="auto"/>
                  <w:tcW w:w="3084" w:type="dxa"/>
                  <w:textDirection w:val="lrTb"/>
                  <w:noWrap w:val="false"/>
                </w:tcPr>
                <w:p>
                  <w:pPr>
                    <w:jc w:val="center"/>
                    <w:spacing w:before="400" w:after="40"/>
                  </w:pPr>
                  <w:r>
                    <w:t xml:space="preserve">___________________________</w:t>
                  </w:r>
                  <w:r/>
                </w:p>
              </w:tc>
              <w:tc>
                <w:tcPr>
                  <w:shd w:val="clear" w:color="auto" w:fill="auto"/>
                  <w:tcW w:w="3000" w:type="dxa"/>
                  <w:textDirection w:val="lrTb"/>
                  <w:noWrap w:val="false"/>
                </w:tcPr>
                <w:p>
                  <w:pPr>
                    <w:jc w:val="center"/>
                    <w:spacing w:before="400" w:after="40"/>
                  </w:pPr>
                  <w:r>
                    <w:rPr>
                      <w:u w:val="single"/>
                    </w:rPr>
                    <w:t xml:space="preserve">Евсеев Е.Н. . .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2400" w:type="dxa"/>
                  <w:textDirection w:val="lrTb"/>
                  <w:noWrap w:val="false"/>
                </w:tcPr>
                <w:p>
                  <w:r>
                    <w:t xml:space="preserve"> </w:t>
                  </w:r>
                  <w:r/>
                </w:p>
              </w:tc>
              <w:tc>
                <w:tcPr>
                  <w:shd w:val="clear" w:color="auto" w:fill="auto"/>
                  <w:tcW w:w="3084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MП                  (подпись)</w:t>
                  </w:r>
                  <w:r/>
                </w:p>
              </w:tc>
              <w:tc>
                <w:tcPr>
                  <w:shd w:val="clear" w:color="auto" w:fill="auto"/>
                  <w:tcW w:w="3000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фамилия, инициалы</w:t>
                  </w:r>
                  <w:r/>
                </w:p>
              </w:tc>
            </w:tr>
          </w:tbl>
          <w:p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rFonts w:ascii="Times New Roman" w:hAnsi="Times New Roman" w:cs="Times New Roman"/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0"/>
  </w:num>
  <w:num w:numId="5">
    <w:abstractNumId w:val="21"/>
  </w:num>
  <w:num w:numId="6">
    <w:abstractNumId w:val="19"/>
  </w:num>
  <w:num w:numId="7">
    <w:abstractNumId w:val="9"/>
  </w:num>
  <w:num w:numId="8">
    <w:abstractNumId w:val="16"/>
  </w:num>
  <w:num w:numId="9">
    <w:abstractNumId w:val="22"/>
  </w:num>
  <w:num w:numId="10">
    <w:abstractNumId w:val="28"/>
  </w:num>
  <w:num w:numId="11">
    <w:abstractNumId w:val="15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5"/>
  </w:num>
  <w:num w:numId="19">
    <w:abstractNumId w:val="10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26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1"/>
  </w:num>
  <w:num w:numId="30">
    <w:abstractNumId w:val="23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708"/>
    <w:link w:val="731"/>
    <w:uiPriority w:val="10"/>
    <w:rPr>
      <w:sz w:val="48"/>
      <w:szCs w:val="48"/>
    </w:rPr>
  </w:style>
  <w:style w:type="paragraph" w:styleId="45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9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5">
    <w:name w:val="Footnote Text Char"/>
    <w:link w:val="872"/>
    <w:uiPriority w:val="99"/>
    <w:rPr>
      <w:sz w:val="18"/>
    </w:rPr>
  </w:style>
  <w:style w:type="character" w:styleId="178">
    <w:name w:val="Endnote Text Char"/>
    <w:link w:val="875"/>
    <w:uiPriority w:val="99"/>
    <w:rPr>
      <w:sz w:val="20"/>
    </w:rPr>
  </w:style>
  <w:style w:type="paragraph" w:styleId="698" w:default="1">
    <w:name w:val="Normal"/>
    <w:qFormat/>
    <w:rPr>
      <w:sz w:val="24"/>
      <w:szCs w:val="24"/>
    </w:rPr>
  </w:style>
  <w:style w:type="paragraph" w:styleId="699">
    <w:name w:val="Heading 1"/>
    <w:basedOn w:val="698"/>
    <w:next w:val="698"/>
    <w:link w:val="910"/>
    <w:qFormat/>
    <w:pPr>
      <w:jc w:val="center"/>
      <w:keepNext/>
      <w:outlineLvl w:val="0"/>
    </w:pPr>
    <w:rPr>
      <w:b/>
      <w:sz w:val="22"/>
      <w:szCs w:val="20"/>
    </w:rPr>
  </w:style>
  <w:style w:type="paragraph" w:styleId="700">
    <w:name w:val="Heading 2"/>
    <w:basedOn w:val="698"/>
    <w:next w:val="698"/>
    <w:link w:val="91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01">
    <w:name w:val="Heading 3"/>
    <w:basedOn w:val="698"/>
    <w:next w:val="698"/>
    <w:link w:val="90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02">
    <w:name w:val="Heading 4"/>
    <w:basedOn w:val="698"/>
    <w:next w:val="698"/>
    <w:link w:val="92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03">
    <w:name w:val="Heading 5"/>
    <w:basedOn w:val="698"/>
    <w:next w:val="698"/>
    <w:link w:val="93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04">
    <w:name w:val="Heading 6"/>
    <w:basedOn w:val="698"/>
    <w:next w:val="698"/>
    <w:link w:val="93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05">
    <w:name w:val="Heading 7"/>
    <w:basedOn w:val="698"/>
    <w:next w:val="698"/>
    <w:link w:val="93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06">
    <w:name w:val="Heading 8"/>
    <w:basedOn w:val="698"/>
    <w:next w:val="698"/>
    <w:link w:val="93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07">
    <w:name w:val="Heading 9"/>
    <w:basedOn w:val="698"/>
    <w:next w:val="698"/>
    <w:link w:val="93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 w:customStyle="1">
    <w:name w:val="Заголовок 11"/>
    <w:basedOn w:val="698"/>
    <w:next w:val="698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712" w:customStyle="1">
    <w:name w:val="Heading 1 Char"/>
    <w:link w:val="711"/>
    <w:uiPriority w:val="9"/>
    <w:rPr>
      <w:rFonts w:ascii="Arial" w:hAnsi="Arial" w:eastAsia="Arial" w:cs="Arial"/>
      <w:sz w:val="40"/>
      <w:szCs w:val="40"/>
    </w:rPr>
  </w:style>
  <w:style w:type="paragraph" w:styleId="713" w:customStyle="1">
    <w:name w:val="Заголовок 21"/>
    <w:basedOn w:val="698"/>
    <w:next w:val="698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714" w:customStyle="1">
    <w:name w:val="Heading 2 Char"/>
    <w:link w:val="713"/>
    <w:uiPriority w:val="9"/>
    <w:rPr>
      <w:rFonts w:ascii="Arial" w:hAnsi="Arial" w:eastAsia="Arial" w:cs="Arial"/>
      <w:sz w:val="34"/>
    </w:rPr>
  </w:style>
  <w:style w:type="paragraph" w:styleId="715" w:customStyle="1">
    <w:name w:val="Заголовок 31"/>
    <w:basedOn w:val="698"/>
    <w:next w:val="698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716" w:customStyle="1">
    <w:name w:val="Heading 3 Char"/>
    <w:link w:val="715"/>
    <w:uiPriority w:val="9"/>
    <w:rPr>
      <w:rFonts w:ascii="Arial" w:hAnsi="Arial" w:eastAsia="Arial" w:cs="Arial"/>
      <w:sz w:val="30"/>
      <w:szCs w:val="30"/>
    </w:rPr>
  </w:style>
  <w:style w:type="paragraph" w:styleId="717" w:customStyle="1">
    <w:name w:val="Заголовок 41"/>
    <w:basedOn w:val="698"/>
    <w:next w:val="698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718" w:customStyle="1">
    <w:name w:val="Heading 4 Char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 w:customStyle="1">
    <w:name w:val="Заголовок 51"/>
    <w:basedOn w:val="698"/>
    <w:next w:val="698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720" w:customStyle="1">
    <w:name w:val="Heading 5 Char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 w:customStyle="1">
    <w:name w:val="Заголовок 61"/>
    <w:basedOn w:val="698"/>
    <w:next w:val="698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722" w:customStyle="1">
    <w:name w:val="Heading 6 Char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 w:customStyle="1">
    <w:name w:val="Заголовок 71"/>
    <w:basedOn w:val="698"/>
    <w:next w:val="698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724" w:customStyle="1">
    <w:name w:val="Heading 7 Char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 w:customStyle="1">
    <w:name w:val="Заголовок 81"/>
    <w:basedOn w:val="698"/>
    <w:next w:val="698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726" w:customStyle="1">
    <w:name w:val="Heading 8 Char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 w:customStyle="1">
    <w:name w:val="Заголовок 91"/>
    <w:basedOn w:val="698"/>
    <w:next w:val="698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28" w:customStyle="1">
    <w:name w:val="Heading 9 Char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List Paragraph"/>
    <w:basedOn w:val="698"/>
    <w:uiPriority w:val="34"/>
    <w:qFormat/>
    <w:pPr>
      <w:contextualSpacing/>
      <w:ind w:left="720"/>
    </w:pPr>
  </w:style>
  <w:style w:type="paragraph" w:styleId="730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31">
    <w:name w:val="Title"/>
    <w:basedOn w:val="698"/>
    <w:next w:val="698"/>
    <w:link w:val="73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2" w:customStyle="1">
    <w:name w:val="Название Знак1"/>
    <w:link w:val="731"/>
    <w:uiPriority w:val="10"/>
    <w:rPr>
      <w:sz w:val="48"/>
      <w:szCs w:val="48"/>
    </w:rPr>
  </w:style>
  <w:style w:type="paragraph" w:styleId="733">
    <w:name w:val="Subtitle"/>
    <w:basedOn w:val="698"/>
    <w:next w:val="698"/>
    <w:link w:val="935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34" w:customStyle="1">
    <w:name w:val="Subtitle Char"/>
    <w:uiPriority w:val="11"/>
    <w:rPr>
      <w:sz w:val="24"/>
      <w:szCs w:val="24"/>
    </w:rPr>
  </w:style>
  <w:style w:type="paragraph" w:styleId="735">
    <w:name w:val="Quote"/>
    <w:basedOn w:val="698"/>
    <w:next w:val="698"/>
    <w:link w:val="937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36" w:customStyle="1">
    <w:name w:val="Quote Char"/>
    <w:uiPriority w:val="29"/>
    <w:rPr>
      <w:i/>
    </w:rPr>
  </w:style>
  <w:style w:type="paragraph" w:styleId="737">
    <w:name w:val="Intense Quote"/>
    <w:basedOn w:val="698"/>
    <w:next w:val="698"/>
    <w:link w:val="938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38" w:customStyle="1">
    <w:name w:val="Intense Quote Char"/>
    <w:uiPriority w:val="30"/>
    <w:rPr>
      <w:i/>
    </w:rPr>
  </w:style>
  <w:style w:type="paragraph" w:styleId="739" w:customStyle="1">
    <w:name w:val="Верхний колонтитул1"/>
    <w:basedOn w:val="698"/>
    <w:link w:val="7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0" w:customStyle="1">
    <w:name w:val="Header Char"/>
    <w:link w:val="739"/>
    <w:uiPriority w:val="99"/>
  </w:style>
  <w:style w:type="paragraph" w:styleId="741" w:customStyle="1">
    <w:name w:val="Нижний колонтитул1"/>
    <w:basedOn w:val="698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uiPriority w:val="99"/>
  </w:style>
  <w:style w:type="paragraph" w:styleId="743" w:customStyle="1">
    <w:name w:val="Название объекта1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44" w:customStyle="1">
    <w:name w:val="Caption Char"/>
    <w:link w:val="741"/>
    <w:uiPriority w:val="99"/>
  </w:style>
  <w:style w:type="table" w:styleId="745">
    <w:name w:val="Table Grid"/>
    <w:basedOn w:val="7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1">
    <w:name w:val="Hyperlink"/>
    <w:uiPriority w:val="99"/>
    <w:rPr>
      <w:color w:val="0000ff"/>
      <w:u w:val="single"/>
    </w:rPr>
  </w:style>
  <w:style w:type="paragraph" w:styleId="872">
    <w:name w:val="footnote text"/>
    <w:basedOn w:val="698"/>
    <w:link w:val="873"/>
    <w:uiPriority w:val="99"/>
    <w:semiHidden/>
    <w:unhideWhenUsed/>
    <w:pPr>
      <w:spacing w:after="40"/>
    </w:pPr>
    <w:rPr>
      <w:sz w:val="18"/>
      <w:szCs w:val="20"/>
    </w:r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uiPriority w:val="99"/>
    <w:unhideWhenUsed/>
    <w:rPr>
      <w:vertAlign w:val="superscript"/>
    </w:rPr>
  </w:style>
  <w:style w:type="paragraph" w:styleId="875">
    <w:name w:val="endnote text"/>
    <w:basedOn w:val="698"/>
    <w:link w:val="876"/>
    <w:uiPriority w:val="99"/>
    <w:semiHidden/>
    <w:unhideWhenUsed/>
    <w:rPr>
      <w:sz w:val="20"/>
      <w:szCs w:val="20"/>
    </w:r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uiPriority w:val="99"/>
    <w:semiHidden/>
    <w:unhideWhenUsed/>
    <w:rPr>
      <w:vertAlign w:val="superscript"/>
    </w:rPr>
  </w:style>
  <w:style w:type="paragraph" w:styleId="878">
    <w:name w:val="toc 1"/>
    <w:basedOn w:val="698"/>
    <w:next w:val="698"/>
    <w:uiPriority w:val="39"/>
    <w:unhideWhenUsed/>
    <w:pPr>
      <w:spacing w:after="57"/>
    </w:pPr>
  </w:style>
  <w:style w:type="paragraph" w:styleId="879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80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81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82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83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84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85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86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87">
    <w:name w:val="TOC Heading"/>
    <w:basedOn w:val="699"/>
    <w:next w:val="69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88">
    <w:name w:val="table of figures"/>
    <w:basedOn w:val="698"/>
    <w:next w:val="698"/>
    <w:uiPriority w:val="99"/>
    <w:unhideWhenUsed/>
  </w:style>
  <w:style w:type="paragraph" w:styleId="889">
    <w:name w:val="Balloon Text"/>
    <w:basedOn w:val="698"/>
    <w:link w:val="924"/>
    <w:uiPriority w:val="99"/>
    <w:semiHidden/>
    <w:rPr>
      <w:rFonts w:ascii="Tahoma" w:hAnsi="Tahoma"/>
      <w:sz w:val="16"/>
      <w:szCs w:val="16"/>
    </w:rPr>
  </w:style>
  <w:style w:type="paragraph" w:styleId="890" w:customStyle="1">
    <w:name w:val="Абзац списка;мой"/>
    <w:basedOn w:val="698"/>
    <w:link w:val="975"/>
    <w:uiPriority w:val="34"/>
    <w:qFormat/>
    <w:pPr>
      <w:contextualSpacing/>
      <w:ind w:left="720"/>
    </w:pPr>
  </w:style>
  <w:style w:type="paragraph" w:styleId="891">
    <w:name w:val="Body Text Indent"/>
    <w:basedOn w:val="698"/>
    <w:link w:val="892"/>
    <w:uiPriority w:val="99"/>
    <w:unhideWhenUsed/>
    <w:pPr>
      <w:ind w:firstLine="708"/>
      <w:jc w:val="both"/>
    </w:pPr>
    <w:rPr>
      <w:lang w:val="en-US" w:eastAsia="en-US"/>
    </w:rPr>
  </w:style>
  <w:style w:type="character" w:styleId="892" w:customStyle="1">
    <w:name w:val="Основной текст с отступом Знак"/>
    <w:link w:val="891"/>
    <w:uiPriority w:val="99"/>
    <w:rPr>
      <w:sz w:val="24"/>
      <w:szCs w:val="24"/>
      <w:lang w:val="en-US" w:eastAsia="en-US"/>
    </w:rPr>
  </w:style>
  <w:style w:type="paragraph" w:styleId="893">
    <w:name w:val="Body Text"/>
    <w:basedOn w:val="698"/>
    <w:link w:val="894"/>
    <w:uiPriority w:val="99"/>
    <w:unhideWhenUsed/>
    <w:pPr>
      <w:spacing w:after="120"/>
    </w:pPr>
  </w:style>
  <w:style w:type="character" w:styleId="894" w:customStyle="1">
    <w:name w:val="Основной текст Знак"/>
    <w:link w:val="893"/>
    <w:uiPriority w:val="99"/>
    <w:rPr>
      <w:sz w:val="24"/>
      <w:szCs w:val="24"/>
    </w:rPr>
  </w:style>
  <w:style w:type="paragraph" w:styleId="895" w:customStyle="1">
    <w:name w:val="ConsPlusNormal"/>
    <w:link w:val="902"/>
    <w:rPr>
      <w:sz w:val="24"/>
      <w:szCs w:val="24"/>
    </w:rPr>
  </w:style>
  <w:style w:type="character" w:styleId="896" w:customStyle="1">
    <w:name w:val="Основной текст_"/>
    <w:link w:val="897"/>
    <w:rPr>
      <w:sz w:val="27"/>
      <w:szCs w:val="27"/>
      <w:shd w:val="clear" w:color="auto" w:fill="ffffff"/>
    </w:rPr>
  </w:style>
  <w:style w:type="paragraph" w:styleId="897" w:customStyle="1">
    <w:name w:val="Основной текст1"/>
    <w:basedOn w:val="698"/>
    <w:link w:val="896"/>
    <w:pPr>
      <w:jc w:val="both"/>
      <w:spacing w:before="420" w:after="420" w:line="0" w:lineRule="atLeast"/>
      <w:shd w:val="clear" w:color="auto" w:fill="ffffff"/>
    </w:pPr>
    <w:rPr>
      <w:sz w:val="27"/>
      <w:szCs w:val="27"/>
    </w:rPr>
  </w:style>
  <w:style w:type="paragraph" w:styleId="898" w:customStyle="1">
    <w:name w:val="ConsPlusCell"/>
    <w:pPr>
      <w:widowControl w:val="off"/>
    </w:pPr>
    <w:rPr>
      <w:rFonts w:ascii="Arial" w:hAnsi="Arial" w:cs="Arial"/>
    </w:rPr>
  </w:style>
  <w:style w:type="paragraph" w:styleId="899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00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901" w:customStyle="1">
    <w:name w:val="Заголовок 3 Знак"/>
    <w:link w:val="70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2" w:customStyle="1">
    <w:name w:val="ConsPlusNormal Знак"/>
    <w:link w:val="895"/>
    <w:rPr>
      <w:sz w:val="24"/>
      <w:szCs w:val="24"/>
      <w:lang w:bidi="ar-SA"/>
    </w:rPr>
  </w:style>
  <w:style w:type="character" w:styleId="903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04" w:customStyle="1">
    <w:name w:val="Заголовок1"/>
    <w:basedOn w:val="698"/>
    <w:next w:val="698"/>
    <w:link w:val="905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05" w:customStyle="1">
    <w:name w:val="Заголовок Знак"/>
    <w:link w:val="90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06" w:customStyle="1">
    <w:name w:val="Заголовок №2_"/>
    <w:link w:val="907"/>
    <w:rPr>
      <w:sz w:val="19"/>
      <w:szCs w:val="19"/>
      <w:shd w:val="clear" w:color="auto" w:fill="ffffff"/>
    </w:rPr>
  </w:style>
  <w:style w:type="paragraph" w:styleId="907" w:customStyle="1">
    <w:name w:val="Заголовок №2"/>
    <w:basedOn w:val="698"/>
    <w:link w:val="90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08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09">
    <w:name w:val="Normal (Web)"/>
    <w:basedOn w:val="698"/>
    <w:uiPriority w:val="99"/>
    <w:unhideWhenUsed/>
    <w:pPr>
      <w:spacing w:before="100" w:beforeAutospacing="1" w:after="100" w:afterAutospacing="1"/>
    </w:pPr>
  </w:style>
  <w:style w:type="character" w:styleId="910" w:customStyle="1">
    <w:name w:val="Заголовок 1 Знак"/>
    <w:link w:val="699"/>
    <w:rPr>
      <w:b/>
      <w:sz w:val="22"/>
    </w:rPr>
  </w:style>
  <w:style w:type="numbering" w:styleId="911" w:customStyle="1">
    <w:name w:val="Стиль1"/>
    <w:uiPriority w:val="99"/>
  </w:style>
  <w:style w:type="character" w:styleId="912">
    <w:name w:val="Strong"/>
    <w:uiPriority w:val="22"/>
    <w:qFormat/>
    <w:rPr>
      <w:b/>
      <w:bCs/>
    </w:rPr>
  </w:style>
  <w:style w:type="character" w:styleId="913" w:customStyle="1">
    <w:name w:val="Заголовок 2 Знак"/>
    <w:link w:val="70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14">
    <w:name w:val="Body Text 2"/>
    <w:basedOn w:val="698"/>
    <w:link w:val="915"/>
    <w:semiHidden/>
    <w:unhideWhenUsed/>
    <w:pPr>
      <w:spacing w:after="120" w:line="480" w:lineRule="auto"/>
    </w:pPr>
  </w:style>
  <w:style w:type="character" w:styleId="915" w:customStyle="1">
    <w:name w:val="Основной текст 2 Знак"/>
    <w:link w:val="914"/>
    <w:semiHidden/>
    <w:rPr>
      <w:sz w:val="24"/>
      <w:szCs w:val="24"/>
    </w:rPr>
  </w:style>
  <w:style w:type="table" w:styleId="916" w:customStyle="1">
    <w:name w:val="Сетка таблицы1"/>
    <w:basedOn w:val="709"/>
    <w:next w:val="745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7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918" w:customStyle="1">
    <w:name w:val="Основной текст7"/>
    <w:basedOn w:val="69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19">
    <w:name w:val="Header"/>
    <w:basedOn w:val="698"/>
    <w:link w:val="920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0" w:customStyle="1">
    <w:name w:val="Верхний колонтитул Знак"/>
    <w:link w:val="919"/>
    <w:rPr>
      <w:sz w:val="24"/>
      <w:szCs w:val="24"/>
      <w:lang w:val="en-US" w:eastAsia="en-US"/>
    </w:rPr>
  </w:style>
  <w:style w:type="paragraph" w:styleId="921">
    <w:name w:val="Footer"/>
    <w:basedOn w:val="698"/>
    <w:link w:val="92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2" w:customStyle="1">
    <w:name w:val="Нижний колонтитул Знак"/>
    <w:link w:val="921"/>
    <w:uiPriority w:val="99"/>
    <w:rPr>
      <w:sz w:val="24"/>
      <w:szCs w:val="24"/>
      <w:lang w:val="en-US" w:eastAsia="en-US"/>
    </w:rPr>
  </w:style>
  <w:style w:type="numbering" w:styleId="923" w:customStyle="1">
    <w:name w:val="Нет списка1"/>
    <w:next w:val="710"/>
    <w:uiPriority w:val="99"/>
    <w:semiHidden/>
    <w:unhideWhenUsed/>
  </w:style>
  <w:style w:type="character" w:styleId="924" w:customStyle="1">
    <w:name w:val="Текст выноски Знак"/>
    <w:link w:val="889"/>
    <w:uiPriority w:val="99"/>
    <w:semiHidden/>
    <w:rPr>
      <w:rFonts w:ascii="Tahoma" w:hAnsi="Tahoma" w:cs="Tahoma"/>
      <w:sz w:val="16"/>
      <w:szCs w:val="16"/>
    </w:rPr>
  </w:style>
  <w:style w:type="paragraph" w:styleId="925" w:customStyle="1">
    <w:name w:val="Знак"/>
    <w:basedOn w:val="69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26" w:customStyle="1">
    <w:name w:val="Нет списка2"/>
    <w:next w:val="710"/>
    <w:uiPriority w:val="99"/>
    <w:semiHidden/>
    <w:unhideWhenUsed/>
  </w:style>
  <w:style w:type="numbering" w:styleId="927" w:customStyle="1">
    <w:name w:val="Нет списка3"/>
    <w:next w:val="710"/>
    <w:uiPriority w:val="99"/>
    <w:semiHidden/>
    <w:unhideWhenUsed/>
  </w:style>
  <w:style w:type="paragraph" w:styleId="928" w:customStyle="1">
    <w:name w:val="Default"/>
    <w:rPr>
      <w:color w:val="000000"/>
      <w:sz w:val="24"/>
      <w:szCs w:val="24"/>
    </w:rPr>
  </w:style>
  <w:style w:type="character" w:styleId="929" w:customStyle="1">
    <w:name w:val="Заголовок 4 Знак"/>
    <w:link w:val="702"/>
    <w:uiPriority w:val="9"/>
    <w:semiHidden/>
    <w:rPr>
      <w:rFonts w:ascii="Calibri" w:hAnsi="Calibri"/>
      <w:b/>
      <w:bCs/>
      <w:sz w:val="28"/>
      <w:szCs w:val="28"/>
    </w:rPr>
  </w:style>
  <w:style w:type="character" w:styleId="930" w:customStyle="1">
    <w:name w:val="Заголовок 5 Знак"/>
    <w:link w:val="70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31" w:customStyle="1">
    <w:name w:val="Заголовок 6 Знак"/>
    <w:link w:val="704"/>
    <w:uiPriority w:val="9"/>
    <w:semiHidden/>
    <w:rPr>
      <w:rFonts w:ascii="Calibri" w:hAnsi="Calibri"/>
      <w:b/>
      <w:bCs/>
      <w:sz w:val="22"/>
      <w:szCs w:val="22"/>
    </w:rPr>
  </w:style>
  <w:style w:type="character" w:styleId="932" w:customStyle="1">
    <w:name w:val="Заголовок 7 Знак"/>
    <w:link w:val="705"/>
    <w:uiPriority w:val="9"/>
    <w:semiHidden/>
    <w:rPr>
      <w:rFonts w:ascii="Calibri" w:hAnsi="Calibri"/>
      <w:sz w:val="22"/>
      <w:szCs w:val="22"/>
    </w:rPr>
  </w:style>
  <w:style w:type="character" w:styleId="933" w:customStyle="1">
    <w:name w:val="Заголовок 8 Знак"/>
    <w:link w:val="706"/>
    <w:uiPriority w:val="9"/>
    <w:semiHidden/>
    <w:rPr>
      <w:rFonts w:ascii="Calibri" w:hAnsi="Calibri"/>
      <w:i/>
      <w:iCs/>
      <w:sz w:val="22"/>
      <w:szCs w:val="22"/>
    </w:rPr>
  </w:style>
  <w:style w:type="character" w:styleId="934" w:customStyle="1">
    <w:name w:val="Заголовок 9 Знак"/>
    <w:link w:val="707"/>
    <w:uiPriority w:val="9"/>
    <w:semiHidden/>
    <w:rPr>
      <w:rFonts w:ascii="Cambria" w:hAnsi="Cambria"/>
      <w:sz w:val="22"/>
      <w:szCs w:val="22"/>
    </w:rPr>
  </w:style>
  <w:style w:type="character" w:styleId="935" w:customStyle="1">
    <w:name w:val="Подзаголовок Знак"/>
    <w:link w:val="733"/>
    <w:uiPriority w:val="11"/>
    <w:rPr>
      <w:rFonts w:ascii="Cambria" w:hAnsi="Cambria"/>
      <w:sz w:val="22"/>
      <w:szCs w:val="22"/>
    </w:rPr>
  </w:style>
  <w:style w:type="character" w:styleId="936">
    <w:name w:val="Emphasis"/>
    <w:qFormat/>
    <w:rPr>
      <w:rFonts w:ascii="Calibri" w:hAnsi="Calibri"/>
      <w:b/>
      <w:i/>
      <w:iCs/>
    </w:rPr>
  </w:style>
  <w:style w:type="character" w:styleId="937" w:customStyle="1">
    <w:name w:val="Цитата 2 Знак"/>
    <w:link w:val="735"/>
    <w:uiPriority w:val="29"/>
    <w:rPr>
      <w:rFonts w:ascii="Calibri" w:hAnsi="Calibri"/>
      <w:i/>
      <w:sz w:val="22"/>
      <w:szCs w:val="22"/>
    </w:rPr>
  </w:style>
  <w:style w:type="character" w:styleId="938" w:customStyle="1">
    <w:name w:val="Выделенная цитата Знак"/>
    <w:link w:val="737"/>
    <w:uiPriority w:val="30"/>
    <w:rPr>
      <w:rFonts w:ascii="Calibri" w:hAnsi="Calibri"/>
      <w:b/>
      <w:i/>
      <w:sz w:val="22"/>
      <w:szCs w:val="22"/>
    </w:rPr>
  </w:style>
  <w:style w:type="character" w:styleId="939">
    <w:name w:val="Subtle Emphasis"/>
    <w:uiPriority w:val="19"/>
    <w:qFormat/>
    <w:rPr>
      <w:i/>
      <w:color w:val="5a5a5a"/>
    </w:rPr>
  </w:style>
  <w:style w:type="character" w:styleId="940">
    <w:name w:val="Intense Emphasis"/>
    <w:uiPriority w:val="21"/>
    <w:qFormat/>
    <w:rPr>
      <w:b/>
      <w:i/>
      <w:sz w:val="24"/>
      <w:szCs w:val="24"/>
      <w:u w:val="single"/>
    </w:rPr>
  </w:style>
  <w:style w:type="character" w:styleId="941">
    <w:name w:val="Subtle Reference"/>
    <w:uiPriority w:val="31"/>
    <w:qFormat/>
    <w:rPr>
      <w:sz w:val="24"/>
      <w:szCs w:val="24"/>
      <w:u w:val="single"/>
    </w:rPr>
  </w:style>
  <w:style w:type="character" w:styleId="942">
    <w:name w:val="Intense Reference"/>
    <w:uiPriority w:val="32"/>
    <w:qFormat/>
    <w:rPr>
      <w:b/>
      <w:sz w:val="24"/>
      <w:u w:val="single"/>
    </w:rPr>
  </w:style>
  <w:style w:type="character" w:styleId="943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44">
    <w:name w:val="Body Text Indent 3"/>
    <w:basedOn w:val="698"/>
    <w:link w:val="945"/>
    <w:unhideWhenUsed/>
    <w:pPr>
      <w:ind w:left="283"/>
      <w:spacing w:after="120"/>
    </w:pPr>
    <w:rPr>
      <w:sz w:val="16"/>
      <w:szCs w:val="16"/>
    </w:rPr>
  </w:style>
  <w:style w:type="character" w:styleId="945" w:customStyle="1">
    <w:name w:val="Основной текст с отступом 3 Знак"/>
    <w:link w:val="944"/>
    <w:rPr>
      <w:sz w:val="16"/>
      <w:szCs w:val="16"/>
    </w:rPr>
  </w:style>
  <w:style w:type="paragraph" w:styleId="946" w:customStyle="1">
    <w:name w:val="Знак"/>
    <w:basedOn w:val="69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47">
    <w:name w:val="FollowedHyperlink"/>
    <w:uiPriority w:val="99"/>
    <w:semiHidden/>
    <w:unhideWhenUsed/>
    <w:rPr>
      <w:color w:val="800080"/>
      <w:u w:val="single"/>
    </w:rPr>
  </w:style>
  <w:style w:type="paragraph" w:styleId="948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49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50" w:customStyle="1">
    <w:name w:val="Знак Знак1"/>
    <w:basedOn w:val="69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1" w:customStyle="1">
    <w:name w:val="Колонтитул (2)_"/>
    <w:link w:val="956"/>
  </w:style>
  <w:style w:type="character" w:styleId="952" w:customStyle="1">
    <w:name w:val="Основной текст (2)_"/>
    <w:link w:val="957"/>
  </w:style>
  <w:style w:type="character" w:styleId="953" w:customStyle="1">
    <w:name w:val="Заголовок №1_"/>
    <w:link w:val="958"/>
    <w:rPr>
      <w:b/>
      <w:bCs/>
    </w:rPr>
  </w:style>
  <w:style w:type="character" w:styleId="954" w:customStyle="1">
    <w:name w:val="Другое_"/>
    <w:link w:val="959"/>
  </w:style>
  <w:style w:type="character" w:styleId="955" w:customStyle="1">
    <w:name w:val="Подпись к таблице_"/>
    <w:link w:val="960"/>
  </w:style>
  <w:style w:type="paragraph" w:styleId="956" w:customStyle="1">
    <w:name w:val="Колонтитул (2)"/>
    <w:basedOn w:val="698"/>
    <w:link w:val="951"/>
    <w:pPr>
      <w:widowControl w:val="off"/>
    </w:pPr>
    <w:rPr>
      <w:sz w:val="20"/>
      <w:szCs w:val="20"/>
    </w:rPr>
  </w:style>
  <w:style w:type="paragraph" w:styleId="957" w:customStyle="1">
    <w:name w:val="Основной текст (2)"/>
    <w:basedOn w:val="698"/>
    <w:link w:val="952"/>
    <w:pPr>
      <w:ind w:left="5600"/>
      <w:widowControl w:val="off"/>
    </w:pPr>
    <w:rPr>
      <w:sz w:val="20"/>
      <w:szCs w:val="20"/>
    </w:rPr>
  </w:style>
  <w:style w:type="paragraph" w:styleId="958" w:customStyle="1">
    <w:name w:val="Заголовок №1"/>
    <w:basedOn w:val="698"/>
    <w:link w:val="95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59" w:customStyle="1">
    <w:name w:val="Другое"/>
    <w:basedOn w:val="698"/>
    <w:link w:val="954"/>
    <w:pPr>
      <w:widowControl w:val="off"/>
    </w:pPr>
    <w:rPr>
      <w:sz w:val="20"/>
      <w:szCs w:val="20"/>
    </w:rPr>
  </w:style>
  <w:style w:type="paragraph" w:styleId="960" w:customStyle="1">
    <w:name w:val="Подпись к таблице"/>
    <w:basedOn w:val="698"/>
    <w:link w:val="955"/>
    <w:pPr>
      <w:widowControl w:val="off"/>
    </w:pPr>
    <w:rPr>
      <w:sz w:val="20"/>
      <w:szCs w:val="20"/>
    </w:rPr>
  </w:style>
  <w:style w:type="paragraph" w:styleId="961" w:customStyle="1">
    <w:name w:val="Основной текст (2)1"/>
    <w:basedOn w:val="69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2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63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64" w:customStyle="1">
    <w:name w:val="Основной текст (3)_"/>
    <w:link w:val="965"/>
    <w:rPr>
      <w:sz w:val="21"/>
      <w:szCs w:val="21"/>
      <w:shd w:val="clear" w:color="auto" w:fill="ffffff"/>
    </w:rPr>
  </w:style>
  <w:style w:type="paragraph" w:styleId="965" w:customStyle="1">
    <w:name w:val="Основной текст (3)"/>
    <w:basedOn w:val="698"/>
    <w:link w:val="96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66" w:customStyle="1">
    <w:name w:val="Основной текст3"/>
    <w:basedOn w:val="69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67" w:customStyle="1">
    <w:name w:val="1"/>
    <w:basedOn w:val="69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68">
    <w:name w:val="Block Text"/>
    <w:basedOn w:val="698"/>
    <w:pPr>
      <w:ind w:left="851" w:right="1274"/>
      <w:jc w:val="center"/>
    </w:pPr>
    <w:rPr>
      <w:b/>
      <w:sz w:val="28"/>
      <w:szCs w:val="20"/>
    </w:rPr>
  </w:style>
  <w:style w:type="paragraph" w:styleId="969" w:customStyle="1">
    <w:name w:val="formattext topleveltext"/>
    <w:basedOn w:val="698"/>
    <w:pPr>
      <w:spacing w:before="100" w:beforeAutospacing="1" w:after="100" w:afterAutospacing="1"/>
    </w:pPr>
  </w:style>
  <w:style w:type="paragraph" w:styleId="970" w:customStyle="1">
    <w:name w:val="Абзац списка1"/>
    <w:basedOn w:val="698"/>
    <w:pPr>
      <w:ind w:left="720"/>
      <w:spacing w:line="276" w:lineRule="auto"/>
    </w:pPr>
  </w:style>
  <w:style w:type="paragraph" w:styleId="971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72" w:customStyle="1">
    <w:name w:val="Сетка таблицы2"/>
    <w:basedOn w:val="709"/>
    <w:next w:val="745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73" w:customStyle="1">
    <w:name w:val="Сетка таблицы3"/>
    <w:basedOn w:val="709"/>
    <w:next w:val="745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4" w:customStyle="1">
    <w:name w:val="Прижатый влево"/>
    <w:basedOn w:val="698"/>
    <w:next w:val="698"/>
    <w:rPr>
      <w:rFonts w:ascii="Arial" w:hAnsi="Arial"/>
      <w:sz w:val="20"/>
      <w:szCs w:val="20"/>
    </w:rPr>
  </w:style>
  <w:style w:type="character" w:styleId="975" w:customStyle="1">
    <w:name w:val="Абзац списка Знак;мой Знак"/>
    <w:link w:val="890"/>
    <w:uiPriority w:val="34"/>
    <w:rPr>
      <w:sz w:val="24"/>
      <w:szCs w:val="24"/>
    </w:rPr>
  </w:style>
  <w:style w:type="character" w:styleId="976" w:customStyle="1">
    <w:name w:val="serp-url__item"/>
  </w:style>
  <w:style w:type="paragraph" w:styleId="977">
    <w:name w:val="HTML Preformatted"/>
    <w:basedOn w:val="698"/>
    <w:link w:val="97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978" w:customStyle="1">
    <w:name w:val="Стандартный HTML Знак"/>
    <w:link w:val="977"/>
    <w:rPr>
      <w:rFonts w:ascii="Courier New" w:hAnsi="Courier New" w:cs="Courier New"/>
    </w:rPr>
  </w:style>
  <w:style w:type="paragraph" w:styleId="979" w:customStyle="1">
    <w:name w:val="Style11"/>
    <w:basedOn w:val="698"/>
    <w:pPr>
      <w:ind w:firstLine="547"/>
      <w:jc w:val="both"/>
      <w:spacing w:line="277" w:lineRule="exact"/>
      <w:widowControl w:val="off"/>
    </w:pPr>
  </w:style>
  <w:style w:type="paragraph" w:styleId="980" w:customStyle="1">
    <w:name w:val="StGen0"/>
    <w:basedOn w:val="698"/>
    <w:next w:val="698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sosnovoborsk-city.ru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495</cp:revision>
  <dcterms:created xsi:type="dcterms:W3CDTF">2020-03-19T03:57:00Z</dcterms:created>
  <dcterms:modified xsi:type="dcterms:W3CDTF">2023-11-21T07:41:42Z</dcterms:modified>
  <cp:version>983040</cp:version>
</cp:coreProperties>
</file>