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252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252"/>
      </w:tblGrid>
      <w:tr>
        <w:trPr>
          <w:trHeight w:val="4126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252" w:type="dxa"/>
            <w:vAlign w:val="top"/>
            <w:textDirection w:val="lrTb"/>
            <w:noWrap w:val="false"/>
          </w:tcPr>
          <w:p>
            <w:pPr>
              <w:pStyle w:val="635"/>
              <w:jc w:val="center"/>
              <w:keepNext/>
              <w:rPr>
                <w:b/>
                <w:sz w:val="22"/>
                <w:lang w:val="en-US" w:eastAsia="en-US"/>
              </w:rPr>
              <w:outlineLvl w:val="0"/>
            </w:pPr>
            <w:r>
              <w:rPr>
                <w:b/>
                <w:sz w:val="22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343" cy="686308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343" cy="686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7pt;height:54.0pt;mso-wrap-distance-left:0.0pt;mso-wrap-distance-top:0.0pt;mso-wrap-distance-right:0.0pt;mso-wrap-distance-bottom:0.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b/>
                <w:sz w:val="22"/>
                <w:lang w:val="en-US" w:eastAsia="en-US"/>
              </w:rPr>
            </w:r>
            <w:r/>
          </w:p>
          <w:p>
            <w:pPr>
              <w:pStyle w:val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35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pStyle w:val="6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35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pStyle w:val="6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35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none"/>
                <w:lang w:val="en-US"/>
              </w:rPr>
              <w:t xml:space="preserve">19 </w:t>
            </w:r>
            <w:r>
              <w:rPr>
                <w:sz w:val="24"/>
                <w:szCs w:val="24"/>
                <w:u w:val="none"/>
                <w:lang w:val="ru-RU"/>
              </w:rPr>
              <w:t xml:space="preserve">сентября</w:t>
            </w:r>
            <w:r>
              <w:rPr>
                <w:sz w:val="24"/>
                <w:szCs w:val="24"/>
              </w:rPr>
              <w:t xml:space="preserve"> 2023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sz w:val="24"/>
                <w:szCs w:val="24"/>
              </w:rPr>
              <w:t xml:space="preserve">   № </w:t>
            </w:r>
            <w:r>
              <w:rPr>
                <w:sz w:val="24"/>
                <w:szCs w:val="24"/>
                <w:lang w:val="en-US"/>
              </w:rPr>
              <w:t xml:space="preserve">1267</w:t>
            </w:r>
            <w:r/>
          </w:p>
        </w:tc>
      </w:tr>
    </w:tbl>
    <w:p>
      <w:pPr>
        <w:pStyle w:val="635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4662"/>
        <w:gridCol w:w="480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6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 xml:space="preserve">установлении временных ограничений или прекращения движения транспортных средств по автомобильным дорогам общего пользования местного значения муниципального образования город Сосновоборск.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26" w:type="dxa"/>
            <w:vAlign w:val="top"/>
            <w:textDirection w:val="lrTb"/>
            <w:noWrap w:val="false"/>
          </w:tcPr>
          <w:p>
            <w:pPr>
              <w:pStyle w:val="6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</w:tbl>
    <w:p>
      <w:pPr>
        <w:pStyle w:val="635"/>
        <w:ind w:firstLine="567"/>
        <w:jc w:val="both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35"/>
        <w:jc w:val="both"/>
        <w:rPr>
          <w:sz w:val="28"/>
        </w:rPr>
      </w:pPr>
      <w:r>
        <w:rPr>
          <w:sz w:val="28"/>
        </w:rPr>
      </w:r>
      <w:r/>
    </w:p>
    <w:p>
      <w:pPr>
        <w:pStyle w:val="63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безопасности дорожного движения, в</w:t>
      </w:r>
      <w:r>
        <w:rPr>
          <w:sz w:val="28"/>
          <w:szCs w:val="28"/>
        </w:rPr>
        <w:t xml:space="preserve"> соответствии с Федеральными законами</w:t>
      </w:r>
      <w:r>
        <w:rPr>
          <w:sz w:val="28"/>
          <w:szCs w:val="28"/>
        </w:rPr>
        <w:t xml:space="preserve"> от 08.11.2007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№ 257-ФЗ «Об автомобильных дорогах и о дорожной деятельности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абзац 7 части 4 </w:t>
      </w:r>
      <w:r>
        <w:rPr>
          <w:sz w:val="28"/>
          <w:szCs w:val="28"/>
        </w:rPr>
        <w:t xml:space="preserve">статьи 6, статьей 14</w:t>
      </w:r>
      <w:r>
        <w:rPr>
          <w:sz w:val="28"/>
          <w:szCs w:val="28"/>
        </w:rPr>
        <w:t xml:space="preserve"> Федерального закона от 10.12.1995 № 196-ФЗ «О безопасности дорожного движения</w:t>
      </w:r>
      <w:r>
        <w:rPr>
          <w:sz w:val="28"/>
          <w:szCs w:val="28"/>
        </w:rPr>
        <w:t xml:space="preserve">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</w:t>
      </w: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расноярского края от 24.05.2012 № 2-312 </w:t>
        <w:br/>
        <w:t xml:space="preserve">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2</w:t>
      </w:r>
      <w:r>
        <w:rPr>
          <w:sz w:val="28"/>
          <w:szCs w:val="28"/>
        </w:rPr>
        <w:t xml:space="preserve"> Закона Красноярского края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от 09.12.2010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11-5430 «О разграничении полномочий органов государственной власти Красноярского края в области использования автомобильных дорог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осуществления дорожной деятельности</w:t>
      </w:r>
      <w:r>
        <w:rPr>
          <w:sz w:val="28"/>
          <w:szCs w:val="28"/>
        </w:rPr>
        <w:t xml:space="preserve">, организации дорожного движения и организации проведения технического осмотра транспортных средств» 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остановление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Правительства Кр</w:t>
      </w:r>
      <w:r>
        <w:rPr>
          <w:sz w:val="28"/>
          <w:szCs w:val="28"/>
        </w:rPr>
        <w:t xml:space="preserve">асноярского края </w:t>
      </w:r>
      <w:r>
        <w:rPr>
          <w:sz w:val="28"/>
          <w:szCs w:val="28"/>
        </w:rPr>
        <w:t xml:space="preserve">от 18.05.2012 №</w:t>
      </w:r>
      <w:r>
        <w:rPr>
          <w:sz w:val="28"/>
          <w:szCs w:val="28"/>
        </w:rPr>
        <w:t xml:space="preserve"> 221-п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осуществления временных ограничения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или прекращени</w:t>
      </w:r>
      <w:r>
        <w:rPr>
          <w:sz w:val="28"/>
          <w:szCs w:val="28"/>
        </w:rPr>
        <w:t xml:space="preserve">я движения транспортных средств </w:t>
      </w:r>
      <w:r>
        <w:rPr>
          <w:sz w:val="28"/>
          <w:szCs w:val="28"/>
        </w:rPr>
        <w:t xml:space="preserve">по автомобильным дорогам регионального или межмуниципального, местного значения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 территории Красноярского края»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постановлением админист</w:t>
      </w:r>
      <w:r>
        <w:rPr>
          <w:sz w:val="28"/>
          <w:szCs w:val="28"/>
        </w:rPr>
        <w:t xml:space="preserve">рации города Сосновоборска от 16.11.2020 № 1568 «Об утверждении порядка осуществления временных ограничения или прекращения движения транспортных средств по автомобильным дорогам общего пользования местного значения муниципального образования город Сосново</w:t>
      </w:r>
      <w:r>
        <w:rPr>
          <w:sz w:val="28"/>
          <w:szCs w:val="28"/>
        </w:rPr>
        <w:t xml:space="preserve">борск», </w:t>
      </w:r>
      <w:r>
        <w:rPr>
          <w:sz w:val="28"/>
          <w:szCs w:val="28"/>
        </w:rPr>
        <w:t xml:space="preserve">руководствуясь ст. ст. 26, 38 Устава города Сосновоборска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</w:r>
      <w:r/>
    </w:p>
    <w:p>
      <w:pPr>
        <w:pStyle w:val="63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ОСТАНОВЛЯЮ</w:t>
      </w:r>
      <w:r>
        <w:rPr>
          <w:sz w:val="28"/>
          <w:szCs w:val="28"/>
        </w:rPr>
      </w:r>
      <w:r/>
    </w:p>
    <w:p>
      <w:pPr>
        <w:pStyle w:val="635"/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5"/>
        <w:ind w:right="-55" w:firstLine="709"/>
        <w:jc w:val="both"/>
        <w:rPr>
          <w:sz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 </w:t>
      </w:r>
      <w:r>
        <w:rPr>
          <w:sz w:val="28"/>
        </w:rPr>
        <w:t xml:space="preserve">Установить </w:t>
      </w:r>
      <w:r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с 21:00 часов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05:00 часов 2023</w:t>
      </w:r>
      <w:r>
        <w:rPr>
          <w:sz w:val="28"/>
          <w:szCs w:val="28"/>
        </w:rPr>
        <w:t xml:space="preserve"> года временное ограничение движения транспортных средств с грузом или без груза, следующих по </w:t>
      </w:r>
      <w:r>
        <w:rPr>
          <w:sz w:val="28"/>
        </w:rPr>
        <w:t xml:space="preserve">автомобильн</w:t>
      </w:r>
      <w:r>
        <w:rPr>
          <w:sz w:val="28"/>
        </w:rPr>
        <w:t xml:space="preserve">ой</w:t>
      </w:r>
      <w:r>
        <w:rPr>
          <w:sz w:val="28"/>
        </w:rPr>
        <w:t xml:space="preserve"> дорог</w:t>
      </w:r>
      <w:r>
        <w:rPr>
          <w:sz w:val="28"/>
        </w:rPr>
        <w:t xml:space="preserve">е</w:t>
      </w:r>
      <w:r>
        <w:rPr>
          <w:sz w:val="28"/>
        </w:rPr>
        <w:t xml:space="preserve"> общего пользования </w:t>
      </w:r>
      <w:r>
        <w:rPr>
          <w:sz w:val="28"/>
        </w:rPr>
        <w:t xml:space="preserve">местного значения по адресу: </w:t>
      </w:r>
      <w:r>
        <w:rPr>
          <w:rFonts w:hint="eastAsia"/>
          <w:sz w:val="28"/>
        </w:rPr>
        <w:t xml:space="preserve">улица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Заводская</w:t>
      </w:r>
      <w:r>
        <w:rPr>
          <w:sz w:val="28"/>
        </w:rPr>
        <w:t xml:space="preserve"> </w:t>
      </w:r>
      <w:r>
        <w:rPr>
          <w:sz w:val="28"/>
        </w:rPr>
        <w:t xml:space="preserve">(</w:t>
      </w:r>
      <w:r>
        <w:rPr>
          <w:rFonts w:hint="eastAsia"/>
          <w:sz w:val="28"/>
        </w:rPr>
        <w:t xml:space="preserve">от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примыкания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улица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Заводская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до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пересечения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с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дорогой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на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пос</w:t>
      </w:r>
      <w:r>
        <w:rPr>
          <w:sz w:val="28"/>
        </w:rPr>
        <w:t xml:space="preserve">.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Подгорный</w:t>
      </w:r>
      <w:r>
        <w:rPr>
          <w:sz w:val="28"/>
        </w:rPr>
        <w:t xml:space="preserve">)</w:t>
      </w:r>
      <w:r>
        <w:rPr>
          <w:sz w:val="28"/>
        </w:rPr>
        <w:t xml:space="preserve"> в связи с проведением ремонтных работ на железнодорожном переезде</w:t>
      </w:r>
      <w:r>
        <w:rPr>
          <w:sz w:val="28"/>
        </w:rPr>
        <w:t xml:space="preserve">.</w:t>
      </w:r>
      <w:r>
        <w:rPr>
          <w:sz w:val="28"/>
        </w:rPr>
      </w:r>
      <w:r/>
    </w:p>
    <w:p>
      <w:pPr>
        <w:pStyle w:val="635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</w:t>
      </w:r>
      <w:r>
        <w:rPr>
          <w:sz w:val="28"/>
        </w:rPr>
        <w:t xml:space="preserve">.</w:t>
      </w:r>
      <w:r>
        <w:rPr>
          <w:sz w:val="28"/>
        </w:rPr>
        <w:t xml:space="preserve"> </w:t>
      </w:r>
      <w:r>
        <w:rPr>
          <w:sz w:val="28"/>
        </w:rPr>
        <w:t xml:space="preserve">МКУ «УКС и ЖКХ» г. Сосновоборска</w:t>
      </w:r>
      <w:r>
        <w:rPr>
          <w:sz w:val="28"/>
        </w:rPr>
        <w:t xml:space="preserve"> </w:t>
      </w:r>
      <w:r>
        <w:rPr>
          <w:sz w:val="28"/>
        </w:rPr>
        <w:t xml:space="preserve">н</w:t>
      </w:r>
      <w:r>
        <w:rPr>
          <w:sz w:val="28"/>
          <w:szCs w:val="28"/>
        </w:rPr>
        <w:t xml:space="preserve">аправить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ОГИБДД МО МВД России «Березовский» </w:t>
      </w:r>
      <w:r>
        <w:rPr>
          <w:sz w:val="28"/>
          <w:szCs w:val="28"/>
        </w:rPr>
        <w:t xml:space="preserve">письменное уведомление </w:t>
      </w:r>
      <w:r>
        <w:rPr>
          <w:sz w:val="28"/>
          <w:szCs w:val="28"/>
        </w:rPr>
        <w:t xml:space="preserve">о введ</w:t>
      </w:r>
      <w:r>
        <w:rPr>
          <w:sz w:val="28"/>
          <w:szCs w:val="28"/>
        </w:rPr>
        <w:t xml:space="preserve">ении временного ограничения</w:t>
      </w:r>
      <w:r>
        <w:rPr>
          <w:sz w:val="28"/>
          <w:szCs w:val="28"/>
        </w:rPr>
        <w:t xml:space="preserve"> движения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автомобильной дороге общего пользования местного значения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Информировать пользователей автомобильн</w:t>
      </w:r>
      <w:r>
        <w:rPr>
          <w:sz w:val="28"/>
          <w:szCs w:val="28"/>
        </w:rPr>
        <w:t xml:space="preserve">ой</w:t>
      </w:r>
      <w:r>
        <w:rPr>
          <w:sz w:val="28"/>
          <w:szCs w:val="28"/>
        </w:rPr>
        <w:t xml:space="preserve"> дорог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пользования местного значения</w:t>
      </w:r>
      <w:r>
        <w:rPr>
          <w:sz w:val="28"/>
          <w:szCs w:val="28"/>
        </w:rPr>
        <w:t xml:space="preserve">, указанных в пункте 1 настоящего п</w:t>
      </w:r>
      <w:r>
        <w:rPr>
          <w:sz w:val="28"/>
          <w:szCs w:val="28"/>
        </w:rPr>
        <w:t xml:space="preserve">остановления,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причинах</w:t>
      </w:r>
      <w:r>
        <w:rPr>
          <w:sz w:val="28"/>
          <w:szCs w:val="28"/>
        </w:rPr>
        <w:t xml:space="preserve"> и сроках ограничения движения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путем размещения</w:t>
      </w:r>
      <w:r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"Официальном интернет-сайте города Сосновоборска" (https://sosnovoborsk-city.ru)</w:t>
      </w:r>
      <w:r>
        <w:rPr>
          <w:sz w:val="28"/>
          <w:szCs w:val="28"/>
        </w:rPr>
        <w:t xml:space="preserve">, чере</w:t>
      </w:r>
      <w:r>
        <w:rPr>
          <w:sz w:val="28"/>
          <w:szCs w:val="28"/>
        </w:rPr>
        <w:t xml:space="preserve">з средства массов</w:t>
      </w:r>
      <w:r>
        <w:rPr>
          <w:sz w:val="28"/>
          <w:szCs w:val="28"/>
        </w:rPr>
        <w:t xml:space="preserve">ой информации.</w:t>
      </w:r>
      <w:r>
        <w:rPr>
          <w:sz w:val="28"/>
          <w:szCs w:val="28"/>
        </w:rPr>
      </w:r>
      <w:r/>
    </w:p>
    <w:p>
      <w:pPr>
        <w:pStyle w:val="654"/>
        <w:ind w:firstLine="720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</w:rPr>
        <w:t xml:space="preserve">4</w:t>
      </w:r>
      <w:r>
        <w:rPr>
          <w:sz w:val="28"/>
        </w:rPr>
        <w:t xml:space="preserve">.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Обеспечить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становку в течение суток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даты начала</w:t>
      </w:r>
      <w:r>
        <w:rPr>
          <w:sz w:val="28"/>
          <w:szCs w:val="28"/>
        </w:rPr>
        <w:t xml:space="preserve"> периода временного ограничения движения и демонтаж в течение суток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даты окончания</w:t>
      </w:r>
      <w:r>
        <w:rPr>
          <w:sz w:val="28"/>
          <w:szCs w:val="28"/>
        </w:rPr>
        <w:t xml:space="preserve"> периода временного ограничения движения на автомобильн</w:t>
      </w:r>
      <w:r>
        <w:rPr>
          <w:sz w:val="28"/>
          <w:szCs w:val="28"/>
        </w:rPr>
        <w:t xml:space="preserve">ой</w:t>
      </w:r>
      <w:r>
        <w:rPr>
          <w:sz w:val="28"/>
          <w:szCs w:val="28"/>
        </w:rPr>
        <w:t xml:space="preserve"> дорог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общего пользования </w:t>
      </w:r>
      <w:r>
        <w:rPr>
          <w:sz w:val="28"/>
          <w:szCs w:val="28"/>
        </w:rPr>
        <w:t xml:space="preserve">местного значения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соответствующей дорожно-знаковой информации, </w:t>
      </w:r>
      <w:r>
        <w:rPr>
          <w:sz w:val="28"/>
          <w:szCs w:val="28"/>
        </w:rPr>
        <w:t xml:space="preserve">знак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 дополнительной информации, предусмотренными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HYPERLINK consultantplus://offline/ref=E58CFAC7BD9E4D04A08B7110612B734037582EE773721A624ED8C8EDC35A2FFEBC568FBF052E2B15O9D1G </w:instrText>
      </w:r>
      <w:r>
        <w:rPr>
          <w:color w:val="000000"/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Правилами</w:t>
      </w:r>
      <w:r>
        <w:rPr>
          <w:color w:val="000000"/>
          <w:sz w:val="28"/>
          <w:szCs w:val="28"/>
        </w:rPr>
        <w:fldChar w:fldCharType="end"/>
      </w:r>
      <w:r>
        <w:rPr>
          <w:sz w:val="28"/>
          <w:szCs w:val="28"/>
        </w:rPr>
        <w:t xml:space="preserve"> дорожного движения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</w:t>
      </w:r>
      <w:r>
        <w:rPr>
          <w:sz w:val="28"/>
          <w:szCs w:val="28"/>
        </w:rPr>
        <w:t xml:space="preserve">ийской Федерации</w:t>
      </w:r>
      <w:r>
        <w:rPr>
          <w:sz w:val="28"/>
          <w:szCs w:val="28"/>
        </w:rPr>
        <w:t xml:space="preserve">, утвержденными п</w:t>
      </w:r>
      <w:r>
        <w:rPr>
          <w:sz w:val="28"/>
          <w:szCs w:val="28"/>
        </w:rPr>
        <w:t xml:space="preserve">остановлением Правительства Росс</w:t>
      </w:r>
      <w:r>
        <w:rPr>
          <w:sz w:val="28"/>
          <w:szCs w:val="28"/>
        </w:rPr>
        <w:t xml:space="preserve">ийской Федерации </w:t>
      </w:r>
      <w:r>
        <w:rPr>
          <w:sz w:val="28"/>
          <w:szCs w:val="28"/>
        </w:rPr>
        <w:t xml:space="preserve">от 23.10.1993 № 1090.</w:t>
      </w:r>
      <w:r>
        <w:rPr>
          <w:sz w:val="28"/>
          <w:szCs w:val="28"/>
        </w:rPr>
      </w:r>
      <w:r/>
    </w:p>
    <w:p>
      <w:pPr>
        <w:pStyle w:val="654"/>
        <w:ind w:firstLine="720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Опубликовать Постановление на "Официальном интернет-сайте города Сосновоборска" (https://sosnovoborsk-city.ru).</w:t>
      </w:r>
      <w:r>
        <w:rPr>
          <w:sz w:val="28"/>
          <w:szCs w:val="28"/>
        </w:rPr>
      </w:r>
      <w:r/>
    </w:p>
    <w:p>
      <w:pPr>
        <w:pStyle w:val="635"/>
        <w:ind w:firstLine="709"/>
        <w:jc w:val="both"/>
        <w:rPr>
          <w:sz w:val="28"/>
        </w:rPr>
      </w:pPr>
      <w:r>
        <w:rPr>
          <w:sz w:val="28"/>
        </w:rPr>
        <w:t xml:space="preserve">6</w:t>
      </w:r>
      <w:r>
        <w:rPr>
          <w:sz w:val="28"/>
        </w:rPr>
        <w:t xml:space="preserve">.</w:t>
      </w:r>
      <w:r>
        <w:rPr>
          <w:sz w:val="28"/>
        </w:rPr>
        <w:t xml:space="preserve"> </w:t>
      </w:r>
      <w:r>
        <w:rPr>
          <w:sz w:val="28"/>
        </w:rPr>
        <w:t xml:space="preserve">Контроль за исполнением постановления возложить на заместителя Главы города по вопросам жизнеобеспечения (Д.В. Иванов).</w:t>
      </w:r>
      <w:r>
        <w:rPr>
          <w:sz w:val="28"/>
        </w:rPr>
      </w:r>
      <w:r/>
    </w:p>
    <w:p>
      <w:pPr>
        <w:pStyle w:val="635"/>
        <w:ind w:firstLine="720"/>
        <w:jc w:val="both"/>
        <w:rPr>
          <w:sz w:val="28"/>
        </w:rPr>
      </w:pPr>
      <w:r>
        <w:rPr>
          <w:sz w:val="28"/>
        </w:rPr>
      </w:r>
      <w:r/>
    </w:p>
    <w:p>
      <w:pPr>
        <w:pStyle w:val="635"/>
        <w:ind w:firstLine="720"/>
        <w:jc w:val="both"/>
        <w:rPr>
          <w:sz w:val="28"/>
        </w:rPr>
      </w:pPr>
      <w:r>
        <w:rPr>
          <w:sz w:val="28"/>
        </w:rPr>
      </w:r>
      <w:r/>
    </w:p>
    <w:p>
      <w:pPr>
        <w:pStyle w:val="635"/>
        <w:ind w:firstLine="720"/>
        <w:jc w:val="both"/>
        <w:rPr>
          <w:sz w:val="28"/>
        </w:rPr>
      </w:pPr>
      <w:r>
        <w:rPr>
          <w:sz w:val="28"/>
        </w:rPr>
      </w:r>
      <w:r/>
    </w:p>
    <w:p>
      <w:pPr>
        <w:pStyle w:val="635"/>
        <w:jc w:val="both"/>
        <w:rPr>
          <w:sz w:val="28"/>
        </w:rPr>
      </w:pPr>
      <w:r>
        <w:rPr>
          <w:sz w:val="28"/>
        </w:rPr>
      </w:r>
      <w:r/>
    </w:p>
    <w:p>
      <w:pPr>
        <w:pStyle w:val="640"/>
        <w:jc w:val="left"/>
        <w:rPr>
          <w:b w:val="0"/>
        </w:rPr>
      </w:pPr>
      <w:r>
        <w:rPr>
          <w:b w:val="0"/>
        </w:rPr>
        <w:t xml:space="preserve">И.о Главы</w:t>
      </w:r>
      <w:r>
        <w:rPr>
          <w:b w:val="0"/>
        </w:rPr>
        <w:t xml:space="preserve"> города Сосновоборска</w:t>
      </w:r>
      <w:r>
        <w:rPr>
          <w:b w:val="0"/>
        </w:rPr>
        <w:t xml:space="preserve"> </w:t>
      </w:r>
      <w:r>
        <w:rPr>
          <w:b w:val="0"/>
        </w:rPr>
        <w:tab/>
        <w:tab/>
        <w:tab/>
        <w:tab/>
        <w:t xml:space="preserve">                    </w:t>
      </w:r>
      <w:r>
        <w:rPr>
          <w:b w:val="0"/>
        </w:rPr>
        <w:t xml:space="preserve"> </w:t>
      </w:r>
      <w:r>
        <w:rPr>
          <w:b w:val="0"/>
        </w:rPr>
        <w:t xml:space="preserve">Д.В. Иванов</w:t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851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1"/>
      <w:rPr>
        <w:rStyle w:val="642"/>
        <w:color w:val="ffffff"/>
      </w:rPr>
      <w:framePr w:wrap="around" w:vAnchor="text" w:hAnchor="margin" w:xAlign="center" w:y="1"/>
    </w:pPr>
    <w:r>
      <w:rPr>
        <w:rStyle w:val="642"/>
        <w:color w:val="ffffff"/>
      </w:rPr>
      <w:fldChar w:fldCharType="begin"/>
    </w:r>
    <w:r>
      <w:rPr>
        <w:rStyle w:val="642"/>
        <w:color w:val="ffffff"/>
      </w:rPr>
      <w:instrText xml:space="preserve">PAGE  </w:instrText>
    </w:r>
    <w:r>
      <w:rPr>
        <w:rStyle w:val="642"/>
        <w:color w:val="ffffff"/>
      </w:rPr>
      <w:fldChar w:fldCharType="separate"/>
    </w:r>
    <w:r>
      <w:rPr>
        <w:rStyle w:val="642"/>
        <w:color w:val="ffffff"/>
      </w:rPr>
      <w:t xml:space="preserve">2</w:t>
    </w:r>
    <w:r>
      <w:rPr>
        <w:rStyle w:val="642"/>
        <w:color w:val="ffffff"/>
      </w:rPr>
      <w:fldChar w:fldCharType="end"/>
    </w:r>
    <w:r>
      <w:rPr>
        <w:rStyle w:val="642"/>
        <w:color w:val="ffffff"/>
      </w:rPr>
    </w:r>
    <w:r/>
  </w:p>
  <w:p>
    <w:pPr>
      <w:pStyle w:val="641"/>
      <w:ind w:right="360"/>
      <w:jc w:val="center"/>
    </w:pPr>
    <w:r>
      <w:t xml:space="preserve">2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1"/>
      <w:rPr>
        <w:rStyle w:val="642"/>
      </w:rPr>
      <w:framePr w:wrap="around" w:vAnchor="text" w:hAnchor="margin" w:xAlign="center" w:y="1"/>
    </w:pPr>
    <w:r>
      <w:rPr>
        <w:rStyle w:val="642"/>
      </w:rPr>
      <w:fldChar w:fldCharType="begin"/>
    </w:r>
    <w:r>
      <w:rPr>
        <w:rStyle w:val="642"/>
      </w:rPr>
      <w:instrText xml:space="preserve">PAGE  </w:instrText>
    </w:r>
    <w:r>
      <w:rPr>
        <w:rStyle w:val="642"/>
      </w:rPr>
      <w:fldChar w:fldCharType="end"/>
    </w:r>
    <w:r>
      <w:rPr>
        <w:rStyle w:val="642"/>
      </w:rPr>
    </w:r>
    <w:r/>
  </w:p>
  <w:p>
    <w:pPr>
      <w:pStyle w:val="641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5"/>
        <w:ind w:left="1699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5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5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5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5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5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5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5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5"/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5"/>
    <w:next w:val="635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5"/>
    <w:next w:val="635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5"/>
    <w:next w:val="635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5"/>
    <w:next w:val="635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5"/>
    <w:next w:val="635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5"/>
    <w:next w:val="635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5"/>
    <w:next w:val="635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5"/>
    <w:next w:val="635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5"/>
    <w:next w:val="635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5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5"/>
    <w:next w:val="635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5"/>
    <w:next w:val="635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5"/>
    <w:next w:val="635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5"/>
    <w:next w:val="635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5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5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5"/>
    <w:next w:val="63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5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5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5"/>
    <w:next w:val="635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5"/>
    <w:next w:val="635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5"/>
    <w:next w:val="635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5"/>
    <w:next w:val="635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5"/>
    <w:next w:val="635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5"/>
    <w:next w:val="635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5"/>
    <w:next w:val="635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5"/>
    <w:next w:val="635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5"/>
    <w:next w:val="635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5"/>
    <w:next w:val="635"/>
    <w:uiPriority w:val="99"/>
    <w:unhideWhenUsed/>
    <w:pPr>
      <w:spacing w:after="0" w:afterAutospacing="0"/>
    </w:pPr>
  </w:style>
  <w:style w:type="paragraph" w:styleId="635" w:default="1">
    <w:name w:val="Normal"/>
    <w:next w:val="635"/>
    <w:link w:val="635"/>
    <w:qFormat/>
    <w:rPr>
      <w:lang w:val="ru-RU" w:eastAsia="ru-RU" w:bidi="ar-SA"/>
    </w:rPr>
  </w:style>
  <w:style w:type="character" w:styleId="636">
    <w:name w:val="Основной шрифт абзаца"/>
    <w:next w:val="636"/>
    <w:link w:val="635"/>
    <w:semiHidden/>
  </w:style>
  <w:style w:type="table" w:styleId="637">
    <w:name w:val="Обычная таблица"/>
    <w:next w:val="637"/>
    <w:link w:val="635"/>
    <w:semiHidden/>
    <w:tblPr/>
  </w:style>
  <w:style w:type="numbering" w:styleId="638">
    <w:name w:val="Нет списка"/>
    <w:next w:val="638"/>
    <w:link w:val="635"/>
    <w:semiHidden/>
  </w:style>
  <w:style w:type="paragraph" w:styleId="639">
    <w:name w:val="Основной текст"/>
    <w:basedOn w:val="635"/>
    <w:next w:val="639"/>
    <w:link w:val="635"/>
    <w:pPr>
      <w:jc w:val="both"/>
    </w:pPr>
    <w:rPr>
      <w:sz w:val="28"/>
    </w:rPr>
  </w:style>
  <w:style w:type="paragraph" w:styleId="640">
    <w:name w:val="Подзаголовок"/>
    <w:basedOn w:val="635"/>
    <w:next w:val="640"/>
    <w:link w:val="635"/>
    <w:qFormat/>
    <w:pPr>
      <w:jc w:val="center"/>
    </w:pPr>
    <w:rPr>
      <w:b/>
      <w:bCs/>
      <w:sz w:val="28"/>
      <w:szCs w:val="24"/>
    </w:rPr>
  </w:style>
  <w:style w:type="paragraph" w:styleId="641">
    <w:name w:val="Верхний колонтитул"/>
    <w:basedOn w:val="635"/>
    <w:next w:val="641"/>
    <w:link w:val="635"/>
    <w:pPr>
      <w:tabs>
        <w:tab w:val="center" w:pos="4677" w:leader="none"/>
        <w:tab w:val="right" w:pos="9355" w:leader="none"/>
      </w:tabs>
    </w:pPr>
  </w:style>
  <w:style w:type="character" w:styleId="642">
    <w:name w:val="Номер страницы"/>
    <w:basedOn w:val="636"/>
    <w:next w:val="642"/>
    <w:link w:val="635"/>
  </w:style>
  <w:style w:type="paragraph" w:styleId="643">
    <w:name w:val="Текст выноски"/>
    <w:basedOn w:val="635"/>
    <w:next w:val="643"/>
    <w:link w:val="635"/>
    <w:semiHidden/>
    <w:rPr>
      <w:rFonts w:ascii="Tahoma" w:hAnsi="Tahoma" w:cs="Tahoma"/>
      <w:sz w:val="16"/>
      <w:szCs w:val="16"/>
    </w:rPr>
  </w:style>
  <w:style w:type="paragraph" w:styleId="644">
    <w:name w:val="Схема документа"/>
    <w:basedOn w:val="635"/>
    <w:next w:val="644"/>
    <w:link w:val="635"/>
    <w:semiHidden/>
    <w:pPr>
      <w:shd w:val="clear" w:color="auto" w:fill="000080"/>
    </w:pPr>
    <w:rPr>
      <w:rFonts w:ascii="Tahoma" w:hAnsi="Tahoma" w:cs="Tahoma"/>
    </w:rPr>
  </w:style>
  <w:style w:type="paragraph" w:styleId="645">
    <w:name w:val="Основной текст 2"/>
    <w:basedOn w:val="635"/>
    <w:next w:val="645"/>
    <w:link w:val="635"/>
    <w:pPr>
      <w:spacing w:after="120" w:line="480" w:lineRule="auto"/>
    </w:pPr>
  </w:style>
  <w:style w:type="paragraph" w:styleId="646">
    <w:name w:val="ConsPlusNormal"/>
    <w:next w:val="646"/>
    <w:link w:val="635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647">
    <w:name w:val=" Знак"/>
    <w:basedOn w:val="635"/>
    <w:next w:val="647"/>
    <w:link w:val="63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648">
    <w:name w:val="Текст сноски"/>
    <w:basedOn w:val="635"/>
    <w:next w:val="648"/>
    <w:link w:val="635"/>
    <w:semiHidden/>
  </w:style>
  <w:style w:type="character" w:styleId="649">
    <w:name w:val="Знак сноски"/>
    <w:next w:val="649"/>
    <w:link w:val="635"/>
    <w:semiHidden/>
    <w:rPr>
      <w:vertAlign w:val="superscript"/>
    </w:rPr>
  </w:style>
  <w:style w:type="paragraph" w:styleId="650">
    <w:name w:val="Нижний колонтитул"/>
    <w:basedOn w:val="635"/>
    <w:next w:val="650"/>
    <w:link w:val="635"/>
    <w:pPr>
      <w:tabs>
        <w:tab w:val="center" w:pos="4677" w:leader="none"/>
        <w:tab w:val="right" w:pos="9355" w:leader="none"/>
      </w:tabs>
    </w:pPr>
  </w:style>
  <w:style w:type="paragraph" w:styleId="651">
    <w:name w:val="ConsPlusNonformat"/>
    <w:next w:val="651"/>
    <w:link w:val="635"/>
    <w:pPr>
      <w:widowControl w:val="off"/>
    </w:pPr>
    <w:rPr>
      <w:rFonts w:ascii="Courier New" w:hAnsi="Courier New" w:cs="Courier New"/>
      <w:lang w:val="ru-RU" w:eastAsia="ru-RU" w:bidi="ar-SA"/>
    </w:rPr>
  </w:style>
  <w:style w:type="table" w:styleId="652">
    <w:name w:val="Сетка таблицы"/>
    <w:basedOn w:val="637"/>
    <w:next w:val="652"/>
    <w:link w:val="635"/>
    <w:tblPr/>
  </w:style>
  <w:style w:type="character" w:styleId="653">
    <w:name w:val="Гиперссылка"/>
    <w:next w:val="653"/>
    <w:link w:val="635"/>
    <w:rPr>
      <w:color w:val="0000ff"/>
      <w:u w:val="single"/>
    </w:rPr>
  </w:style>
  <w:style w:type="paragraph" w:styleId="654">
    <w:name w:val="Обычный (веб)"/>
    <w:basedOn w:val="635"/>
    <w:next w:val="654"/>
    <w:link w:val="635"/>
    <w:pPr>
      <w:spacing w:before="100" w:beforeAutospacing="1" w:after="100" w:afterAutospacing="1"/>
    </w:pPr>
    <w:rPr>
      <w:sz w:val="24"/>
      <w:szCs w:val="24"/>
    </w:rPr>
  </w:style>
  <w:style w:type="character" w:styleId="1018" w:default="1">
    <w:name w:val="Default Paragraph Font"/>
    <w:uiPriority w:val="1"/>
    <w:semiHidden/>
    <w:unhideWhenUsed/>
  </w:style>
  <w:style w:type="numbering" w:styleId="1019" w:default="1">
    <w:name w:val="No List"/>
    <w:uiPriority w:val="99"/>
    <w:semiHidden/>
    <w:unhideWhenUsed/>
  </w:style>
  <w:style w:type="table" w:styleId="102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VID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VID</dc:creator>
  <cp:revision>9</cp:revision>
  <dcterms:created xsi:type="dcterms:W3CDTF">2023-09-12T02:53:00Z</dcterms:created>
  <dcterms:modified xsi:type="dcterms:W3CDTF">2023-09-20T07:31:19Z</dcterms:modified>
  <cp:version>917504</cp:version>
</cp:coreProperties>
</file>