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</w:pPr>
      <w:r>
        <w:rPr>
          <w:sz w:val="28"/>
          <w:szCs w:val="28"/>
        </w:rPr>
        <w:t xml:space="preserve">Резолюция</w:t>
      </w:r>
      <w:r/>
    </w:p>
    <w:p>
      <w:pPr>
        <w:pStyle w:val="602"/>
        <w:jc w:val="center"/>
      </w:pPr>
      <w:r>
        <w:rPr>
          <w:sz w:val="28"/>
          <w:szCs w:val="28"/>
        </w:rPr>
        <w:t xml:space="preserve">публичных слушаний по обсуждению проекта бюджета города </w:t>
        <w:br w:type="textWrapping" w:clear="all"/>
        <w:t xml:space="preserve">Сосновоборска на 202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-202</w:t>
      </w:r>
      <w:r>
        <w:rPr>
          <w:sz w:val="28"/>
          <w:szCs w:val="28"/>
        </w:rPr>
        <w:t xml:space="preserve">6 годов</w:t>
      </w:r>
      <w:r/>
    </w:p>
    <w:p>
      <w:pPr>
        <w:pStyle w:val="60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jc w:val="center"/>
      </w:pP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декабря 2023</w:t>
      </w:r>
      <w:r>
        <w:rPr>
          <w:sz w:val="28"/>
          <w:szCs w:val="28"/>
        </w:rPr>
        <w:t xml:space="preserve">                                                                                 15-</w:t>
      </w:r>
      <w:r>
        <w:rPr>
          <w:sz w:val="28"/>
          <w:szCs w:val="28"/>
        </w:rPr>
        <w:t xml:space="preserve">00</w:t>
      </w:r>
      <w:r/>
    </w:p>
    <w:p>
      <w:pPr>
        <w:pStyle w:val="60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jc w:val="both"/>
      </w:pPr>
      <w:r>
        <w:rPr>
          <w:sz w:val="28"/>
          <w:szCs w:val="28"/>
        </w:rPr>
        <w:tab/>
        <w:t xml:space="preserve">Место проведения – конференц-зал администрации города (Сосновоборск, ул. Солнечная, 2, 1-й этаж)</w:t>
      </w:r>
      <w:r/>
    </w:p>
    <w:p>
      <w:pPr>
        <w:pStyle w:val="602"/>
        <w:jc w:val="both"/>
      </w:pPr>
      <w:r>
        <w:rPr>
          <w:sz w:val="28"/>
          <w:szCs w:val="28"/>
        </w:rPr>
        <w:t xml:space="preserve"> </w:t>
      </w:r>
      <w:r/>
    </w:p>
    <w:p>
      <w:pPr>
        <w:pStyle w:val="602"/>
        <w:jc w:val="both"/>
      </w:pPr>
      <w:r>
        <w:rPr>
          <w:b/>
          <w:sz w:val="28"/>
          <w:szCs w:val="28"/>
        </w:rPr>
        <w:t xml:space="preserve">На слушаниях присутствовали: </w:t>
      </w:r>
      <w:r>
        <w:rPr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участник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/>
    </w:p>
    <w:p>
      <w:pPr>
        <w:pStyle w:val="6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2"/>
        <w:jc w:val="both"/>
      </w:pPr>
      <w:r>
        <w:rPr>
          <w:b/>
          <w:sz w:val="28"/>
          <w:szCs w:val="28"/>
        </w:rPr>
        <w:t xml:space="preserve">Участники слушаний: </w:t>
      </w:r>
      <w:r>
        <w:rPr>
          <w:sz w:val="28"/>
          <w:szCs w:val="28"/>
        </w:rPr>
        <w:t xml:space="preserve">жители города, депутаты  </w:t>
      </w:r>
      <w:r>
        <w:rPr>
          <w:sz w:val="28"/>
          <w:szCs w:val="28"/>
        </w:rPr>
        <w:t xml:space="preserve">Сосновоборского </w:t>
      </w:r>
      <w:r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</w:t>
      </w:r>
      <w:r>
        <w:rPr>
          <w:sz w:val="28"/>
          <w:szCs w:val="28"/>
        </w:rPr>
        <w:t xml:space="preserve">, представители администрации, бюджетных организаций, средств массовой информации.</w:t>
      </w:r>
      <w:r/>
    </w:p>
    <w:p>
      <w:pPr>
        <w:pStyle w:val="60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ind w:left="0" w:right="0" w:firstLine="709"/>
        <w:jc w:val="both"/>
      </w:pPr>
      <w:r>
        <w:rPr>
          <w:sz w:val="28"/>
          <w:szCs w:val="28"/>
        </w:rPr>
        <w:t xml:space="preserve">Участники публичных слушаний, обсудив доклады по итогам социально-экономического развития города и по проекту бюджета города Сосновоборска на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5-2026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годов, в соответствии с Бюджетным кодексом РФ и иными нормативными документами в сфере бюджета и налогов, учитывая отсутствие замечаний к проекту по итогам независимой антикоррупционной экспертизы</w:t>
      </w:r>
      <w:r>
        <w:rPr>
          <w:sz w:val="28"/>
          <w:szCs w:val="32"/>
        </w:rPr>
        <w:t xml:space="preserve">,</w:t>
      </w:r>
      <w:r/>
    </w:p>
    <w:p>
      <w:pPr>
        <w:pStyle w:val="6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2"/>
        <w:jc w:val="both"/>
      </w:pPr>
      <w:r>
        <w:rPr>
          <w:b/>
          <w:sz w:val="28"/>
          <w:szCs w:val="28"/>
        </w:rPr>
        <w:t xml:space="preserve">решили: </w:t>
      </w:r>
      <w:r/>
    </w:p>
    <w:p>
      <w:pPr>
        <w:pStyle w:val="6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2"/>
        <w:numPr>
          <w:ilvl w:val="0"/>
          <w:numId w:val="1"/>
        </w:numPr>
        <w:ind w:left="0" w:right="0" w:firstLine="426"/>
        <w:jc w:val="both"/>
        <w:tabs>
          <w:tab w:val="left" w:pos="142" w:leader="none"/>
          <w:tab w:val="left" w:pos="900" w:leader="none"/>
          <w:tab w:val="left" w:pos="1080" w:leader="none"/>
        </w:tabs>
      </w:pPr>
      <w:r>
        <w:rPr>
          <w:sz w:val="28"/>
          <w:szCs w:val="28"/>
        </w:rPr>
        <w:t xml:space="preserve">Одобрить проект бюджета города </w:t>
      </w:r>
      <w:r>
        <w:rPr>
          <w:i w:val="0"/>
          <w:iCs w:val="0"/>
          <w:sz w:val="32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на 2024</w:t>
      </w:r>
      <w:r>
        <w:rPr>
          <w:i w:val="0"/>
          <w:iCs w:val="0"/>
          <w:sz w:val="28"/>
          <w:szCs w:val="28"/>
        </w:rPr>
        <w:t xml:space="preserve"> год и плановый период 2025</w:t>
      </w:r>
      <w:r>
        <w:rPr>
          <w:i w:val="0"/>
          <w:iCs w:val="0"/>
          <w:sz w:val="28"/>
          <w:szCs w:val="28"/>
        </w:rPr>
        <w:t xml:space="preserve">-202</w:t>
      </w:r>
      <w:r>
        <w:rPr>
          <w:i w:val="0"/>
          <w:iCs w:val="0"/>
          <w:sz w:val="28"/>
          <w:szCs w:val="28"/>
        </w:rPr>
        <w:t xml:space="preserve">6</w:t>
      </w:r>
      <w:r>
        <w:rPr>
          <w:i w:val="0"/>
          <w:iCs w:val="0"/>
          <w:sz w:val="28"/>
          <w:szCs w:val="28"/>
        </w:rPr>
        <w:t xml:space="preserve"> годов</w:t>
      </w:r>
      <w:r/>
    </w:p>
    <w:p>
      <w:pPr>
        <w:pStyle w:val="602"/>
        <w:ind w:left="0" w:right="0" w:firstLine="426"/>
        <w:jc w:val="both"/>
        <w:tabs>
          <w:tab w:val="left" w:pos="142" w:leader="none"/>
          <w:tab w:val="left" w:pos="900" w:leader="none"/>
          <w:tab w:val="left" w:pos="1080" w:leader="none"/>
        </w:tabs>
      </w:pPr>
      <w:r/>
      <w:r/>
    </w:p>
    <w:p>
      <w:pPr>
        <w:pStyle w:val="602"/>
        <w:jc w:val="both"/>
        <w:tabs>
          <w:tab w:val="left" w:pos="0" w:leader="none"/>
          <w:tab w:val="left" w:pos="1080" w:leader="none"/>
        </w:tabs>
      </w:pPr>
      <w:r>
        <w:rPr>
          <w:sz w:val="28"/>
          <w:szCs w:val="28"/>
        </w:rPr>
        <w:t xml:space="preserve">Голосовали:</w:t>
      </w:r>
      <w:r/>
    </w:p>
    <w:p>
      <w:pPr>
        <w:pStyle w:val="602"/>
        <w:jc w:val="both"/>
      </w:pPr>
      <w:r>
        <w:rPr>
          <w:sz w:val="28"/>
          <w:szCs w:val="28"/>
        </w:rPr>
        <w:t xml:space="preserve">«за» - 33</w:t>
      </w:r>
      <w:r>
        <w:rPr>
          <w:sz w:val="28"/>
          <w:szCs w:val="28"/>
        </w:rPr>
        <w:t xml:space="preserve"> чел.</w:t>
      </w:r>
      <w:r/>
    </w:p>
    <w:p>
      <w:pPr>
        <w:pStyle w:val="602"/>
        <w:jc w:val="both"/>
      </w:pPr>
      <w:r>
        <w:rPr>
          <w:sz w:val="28"/>
          <w:szCs w:val="28"/>
        </w:rPr>
        <w:t xml:space="preserve">«против» - нет.</w:t>
      </w:r>
      <w:r/>
    </w:p>
    <w:p>
      <w:pPr>
        <w:pStyle w:val="602"/>
        <w:jc w:val="both"/>
      </w:pPr>
      <w:r>
        <w:rPr>
          <w:sz w:val="28"/>
          <w:szCs w:val="28"/>
        </w:rPr>
        <w:t xml:space="preserve">«воздержались» - нет.</w:t>
      </w:r>
      <w:r/>
    </w:p>
    <w:p>
      <w:pPr>
        <w:pStyle w:val="60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jc w:val="both"/>
      </w:pPr>
      <w:r>
        <w:rPr>
          <w:sz w:val="28"/>
          <w:szCs w:val="28"/>
        </w:rPr>
        <w:t xml:space="preserve">Председательствующий </w:t>
        <w:br w:type="textWrapping" w:clear="all"/>
        <w:t xml:space="preserve">на слушаниях </w:t>
        <w:tab/>
        <w:tab/>
        <w:tab/>
        <w:tab/>
        <w:tab/>
        <w:tab/>
        <w:tab/>
        <w:t xml:space="preserve">                    </w:t>
        <w:tab/>
        <w:t xml:space="preserve">     Б.М. Пучкин </w:t>
      </w:r>
      <w:r/>
    </w:p>
    <w:p>
      <w:pPr>
        <w:pStyle w:val="60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jc w:val="both"/>
      </w:pPr>
      <w:r>
        <w:rPr>
          <w:sz w:val="28"/>
          <w:szCs w:val="28"/>
        </w:rPr>
        <w:t xml:space="preserve">Секретарь слушаний </w:t>
        <w:tab/>
        <w:tab/>
        <w:tab/>
        <w:tab/>
        <w:tab/>
        <w:tab/>
        <w:t xml:space="preserve">                          Н.Е. Егорова</w:t>
      </w:r>
      <w:r/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540" w:right="566" w:bottom="360" w:left="156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Wingdings">
    <w:panose1 w:val="05000000000000000000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2"/>
        <w:ind w:left="928" w:hanging="360"/>
        <w:tabs>
          <w:tab w:val="num" w:pos="92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2"/>
    <w:next w:val="6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2"/>
    <w:next w:val="6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2"/>
    <w:next w:val="6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2"/>
    <w:next w:val="6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2"/>
    <w:next w:val="6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2"/>
    <w:next w:val="6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2"/>
    <w:next w:val="6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2"/>
    <w:next w:val="6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2"/>
    <w:next w:val="6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2"/>
    <w:next w:val="6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2"/>
    <w:next w:val="6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2"/>
    <w:next w:val="6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2"/>
    <w:next w:val="6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2"/>
    <w:next w:val="602"/>
    <w:uiPriority w:val="99"/>
    <w:unhideWhenUsed/>
    <w:pPr>
      <w:spacing w:after="0" w:afterAutospacing="0"/>
    </w:pPr>
  </w:style>
  <w:style w:type="table" w:styleId="6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02" w:default="1">
    <w:name w:val="Normal"/>
    <w:next w:val="602"/>
    <w:link w:val="602"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603">
    <w:name w:val="WW8Num1z0"/>
    <w:next w:val="603"/>
  </w:style>
  <w:style w:type="character" w:styleId="604">
    <w:name w:val="WW8Num2z0"/>
    <w:next w:val="604"/>
  </w:style>
  <w:style w:type="character" w:styleId="605">
    <w:name w:val="WW8Num3z0"/>
    <w:next w:val="605"/>
    <w:link w:val="602"/>
  </w:style>
  <w:style w:type="character" w:styleId="606">
    <w:name w:val="WW8Num4z0"/>
    <w:next w:val="606"/>
    <w:link w:val="602"/>
  </w:style>
  <w:style w:type="character" w:styleId="607">
    <w:name w:val="WW8Num5z0"/>
    <w:next w:val="607"/>
    <w:link w:val="602"/>
  </w:style>
  <w:style w:type="character" w:styleId="608">
    <w:name w:val="Основной шрифт абзаца"/>
    <w:next w:val="608"/>
    <w:link w:val="602"/>
  </w:style>
  <w:style w:type="paragraph" w:styleId="609">
    <w:name w:val="Заголовок"/>
    <w:basedOn w:val="602"/>
    <w:next w:val="610"/>
    <w:link w:val="602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10">
    <w:name w:val="Основной текст"/>
    <w:basedOn w:val="602"/>
    <w:next w:val="610"/>
    <w:link w:val="602"/>
    <w:pPr>
      <w:spacing w:before="0" w:after="140" w:line="276" w:lineRule="auto"/>
    </w:pPr>
  </w:style>
  <w:style w:type="paragraph" w:styleId="611">
    <w:name w:val="Список"/>
    <w:basedOn w:val="610"/>
    <w:next w:val="611"/>
    <w:link w:val="602"/>
    <w:rPr>
      <w:rFonts w:cs="Arial"/>
    </w:rPr>
  </w:style>
  <w:style w:type="paragraph" w:styleId="612">
    <w:name w:val="Название"/>
    <w:basedOn w:val="602"/>
    <w:next w:val="612"/>
    <w:link w:val="602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13">
    <w:name w:val="Указатель"/>
    <w:basedOn w:val="602"/>
    <w:next w:val="613"/>
    <w:link w:val="602"/>
    <w:pPr>
      <w:suppressLineNumbers/>
    </w:pPr>
    <w:rPr>
      <w:rFonts w:cs="Arial"/>
      <w:lang w:val="en-US" w:eastAsia="en-US" w:bidi="en-US"/>
    </w:rPr>
  </w:style>
  <w:style w:type="paragraph" w:styleId="614">
    <w:name w:val="ConsNormal"/>
    <w:next w:val="614"/>
    <w:link w:val="602"/>
    <w:pPr>
      <w:ind w:left="0" w:right="19772" w:firstLine="720"/>
      <w:widowControl w:val="off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615">
    <w:name w:val="Текст выноски"/>
    <w:basedOn w:val="602"/>
    <w:next w:val="615"/>
    <w:link w:val="602"/>
    <w:rPr>
      <w:rFonts w:ascii="Tahoma" w:hAnsi="Tahoma" w:cs="Tahoma"/>
      <w:sz w:val="16"/>
      <w:szCs w:val="16"/>
    </w:rPr>
  </w:style>
  <w:style w:type="character" w:styleId="758" w:default="1">
    <w:name w:val="Default Paragraph Font"/>
    <w:uiPriority w:val="1"/>
    <w:semiHidden/>
    <w:unhideWhenUsed/>
  </w:style>
  <w:style w:type="numbering" w:styleId="75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adm</dc:creator>
  <cp:revision>31</cp:revision>
  <dcterms:created xsi:type="dcterms:W3CDTF">2008-11-24T04:30:00Z</dcterms:created>
  <dcterms:modified xsi:type="dcterms:W3CDTF">2023-12-05T01:29:34Z</dcterms:modified>
</cp:coreProperties>
</file>