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="276" w:lineRule="auto"/>
        <w:outlineLvl w:val="0"/>
      </w:pPr>
      <w:r>
        <w:rPr>
          <w:sz w:val="32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5480" cy="848360"/>
                <wp:effectExtent l="0" t="0" r="1270" b="889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258747" name="Рисунок 1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65479" cy="848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4pt;height:66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bCs/>
          <w:lang w:val="ru-RU" w:eastAsia="ru-RU"/>
        </w:rPr>
      </w:r>
      <w:r/>
    </w:p>
    <w:p>
      <w:pPr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32"/>
          <w:szCs w:val="32"/>
          <w:lang w:val="ru-RU" w:eastAsia="ru-RU"/>
        </w:rPr>
        <w:t xml:space="preserve">СОСНОВОБОРСКИЙ ГОРОДСКОЙ СОВЕТ ДЕПУТАТОВ</w:t>
      </w:r>
      <w:r>
        <w:rPr>
          <w:b/>
          <w:sz w:val="32"/>
          <w:szCs w:val="32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44"/>
          <w:szCs w:val="44"/>
          <w:lang w:val="ru-RU" w:eastAsia="ru-RU"/>
        </w:rPr>
        <w:t xml:space="preserve">РЕШЕНИЕ</w:t>
      </w:r>
      <w:r>
        <w:rPr>
          <w:b/>
          <w:sz w:val="44"/>
          <w:szCs w:val="44"/>
          <w:lang w:val="ru-RU" w:eastAsia="ru-RU"/>
        </w:rPr>
      </w:r>
      <w:r/>
    </w:p>
    <w:p>
      <w:pPr>
        <w:jc w:val="center"/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ru-RU"/>
        </w:rPr>
        <w:t xml:space="preserve">января 2024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№ 35/159-р</w:t>
      </w:r>
      <w:r>
        <w:rPr>
          <w:sz w:val="28"/>
          <w:szCs w:val="28"/>
          <w:lang w:val="ru-RU"/>
        </w:rPr>
      </w:r>
      <w:r/>
    </w:p>
    <w:p>
      <w:pPr>
        <w:jc w:val="center"/>
        <w:spacing w:line="276" w:lineRule="auto"/>
        <w:rPr>
          <w:b/>
          <w:bCs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г. Сосновоборск</w:t>
      </w:r>
      <w:r>
        <w:rPr>
          <w:sz w:val="20"/>
          <w:szCs w:val="20"/>
          <w:lang w:val="ru-RU"/>
        </w:rPr>
      </w:r>
      <w:r/>
    </w:p>
    <w:p>
      <w:pPr>
        <w:ind w:left="0" w:right="3402" w:firstLine="0"/>
        <w:jc w:val="both"/>
      </w:pPr>
      <w:r>
        <w:rPr>
          <w:rFonts w:ascii="Arial" w:hAnsi="Arial" w:cs="Arial"/>
          <w:highlight w:val="none"/>
          <w:lang w:val="ru-RU"/>
        </w:rPr>
      </w:r>
      <w:r>
        <w:rPr>
          <w:rFonts w:ascii="Arial" w:hAnsi="Arial" w:cs="Arial"/>
          <w:highlight w:val="none"/>
          <w:lang w:val="ru-RU"/>
        </w:rPr>
      </w:r>
      <w:r/>
    </w:p>
    <w:p>
      <w:pPr>
        <w:pStyle w:val="900"/>
        <w:ind w:left="0" w:right="4536" w:firstLine="0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eastAsiaTheme="minorEastAsia"/>
          <w:sz w:val="24"/>
          <w:szCs w:val="24"/>
        </w:rPr>
        <w:t xml:space="preserve">О внесении изменений в решение Сосновоборского городского Совета депутатов от 21.12.2016 № 15/64</w:t>
      </w:r>
      <w:r>
        <w:rPr>
          <w:rFonts w:eastAsiaTheme="minorEastAsia"/>
          <w:sz w:val="24"/>
          <w:szCs w:val="24"/>
        </w:rPr>
        <w:t xml:space="preserve">-р «О системах оплаты труда работников муниципальных учреждений города Сосновоборска»</w:t>
      </w: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901"/>
        <w:jc w:val="center"/>
        <w:widowControl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оплаты труда руководителей муниципальных учреждений, в соответствии со статьей 144, 145 Трудового кодекса Российской Федерации, Федеральным законом от 06.12.2003 № 131-ФЗ «Об общих принципах организации местного самоуправления в Российс</w:t>
      </w:r>
      <w:r>
        <w:rPr>
          <w:sz w:val="28"/>
          <w:szCs w:val="28"/>
        </w:rPr>
        <w:t xml:space="preserve">кой Федерации», в соответствии с Законом Красноярского края от 07.12.2023 № 6-2322 «О внесении изменений в некоторые Законы края в целях повышения размеров оплаты труда работников бюджетной сферы», руководствуясь ст.24 Устава города Сосновоборска Красноярс</w:t>
      </w:r>
      <w:r>
        <w:rPr>
          <w:sz w:val="28"/>
          <w:szCs w:val="28"/>
        </w:rPr>
        <w:t xml:space="preserve">кого края, Сосновоборский городской Совет депутатов решил: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системах оплаты труда работников муниципальных учреждений города Сосновоборска, утвержденное решением Сосновоборского городского Совета депутатов от 21.12.2016 № 15/64-р </w:t>
      </w:r>
      <w:r>
        <w:rPr>
          <w:rFonts w:eastAsiaTheme="minorEastAsia"/>
          <w:sz w:val="28"/>
          <w:szCs w:val="28"/>
        </w:rPr>
        <w:t xml:space="preserve">(далее – Положение)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4.1 </w:t>
      </w:r>
      <w:bookmarkStart w:id="0" w:name="undefined"/>
      <w:r>
        <w:rPr>
          <w:sz w:val="28"/>
          <w:szCs w:val="28"/>
        </w:rPr>
        <w:t xml:space="preserve">раздела 4 Положения </w:t>
      </w:r>
      <w:bookmarkEnd w:id="0"/>
      <w:r>
        <w:rPr>
          <w:sz w:val="28"/>
          <w:szCs w:val="28"/>
        </w:rPr>
        <w:t xml:space="preserve">дополнить абзацем 5 следующего содержания «специальная краевая выплата».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1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undefined"/>
      <w:r>
        <w:rPr>
          <w:sz w:val="28"/>
          <w:szCs w:val="28"/>
        </w:rPr>
        <w:t xml:space="preserve">Пункт 4.2 раздела 4 Положения дополнить подпунктом 4.2.3 следующего содержания:</w:t>
      </w:r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«Специальная краевая выплата устанавливается в целях повышения уровня оплаты труда работника</w:t>
      </w:r>
      <w:r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месяце, в котором производятся начисления исходя из средней заработной платы</w:t>
      </w:r>
      <w:r>
        <w:rPr>
          <w:sz w:val="28"/>
          <w:szCs w:val="28"/>
        </w:rPr>
        <w:t xml:space="preserve">, определенной</w:t>
      </w:r>
      <w:r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 xml:space="preserve">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 и главному бухгалтеру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работникам учреждения увеличивается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увеличения,</w:t>
      </w:r>
      <w:r>
        <w:rPr>
          <w:sz w:val="28"/>
          <w:szCs w:val="28"/>
        </w:rPr>
        <w:t xml:space="preserve"> рассчитываемый по формуле: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СКВув</w:t>
      </w:r>
      <w:r>
        <w:rPr>
          <w:b w:val="0"/>
          <w:bCs w:val="0"/>
          <w:i/>
          <w:iCs/>
          <w:sz w:val="28"/>
          <w:szCs w:val="28"/>
        </w:rPr>
        <w:t xml:space="preserve"> = </w:t>
      </w:r>
      <w:r>
        <w:rPr>
          <w:b w:val="0"/>
          <w:bCs w:val="0"/>
          <w:i/>
          <w:iCs/>
          <w:sz w:val="28"/>
          <w:szCs w:val="28"/>
        </w:rPr>
        <w:t xml:space="preserve">Отп</w:t>
      </w:r>
      <w:r>
        <w:rPr>
          <w:b w:val="0"/>
          <w:bCs w:val="0"/>
          <w:i/>
          <w:iCs/>
          <w:sz w:val="28"/>
          <w:szCs w:val="28"/>
        </w:rPr>
        <w:t xml:space="preserve"> x </w:t>
      </w:r>
      <w:r>
        <w:rPr>
          <w:b w:val="0"/>
          <w:bCs w:val="0"/>
          <w:i/>
          <w:iCs/>
          <w:sz w:val="28"/>
          <w:szCs w:val="28"/>
        </w:rPr>
        <w:t xml:space="preserve">Кув</w:t>
      </w:r>
      <w:r>
        <w:rPr>
          <w:b w:val="0"/>
          <w:bCs w:val="0"/>
          <w:i/>
          <w:iCs/>
          <w:sz w:val="28"/>
          <w:szCs w:val="28"/>
        </w:rPr>
        <w:t xml:space="preserve"> – </w:t>
      </w:r>
      <w:r>
        <w:rPr>
          <w:b w:val="0"/>
          <w:bCs w:val="0"/>
          <w:i/>
          <w:iCs/>
          <w:sz w:val="28"/>
          <w:szCs w:val="28"/>
        </w:rPr>
        <w:t xml:space="preserve">Отп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(1)</w:t>
      </w:r>
      <w:r>
        <w:rPr>
          <w:b/>
          <w:bCs/>
          <w:i/>
          <w:i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СКВув</w:t>
      </w:r>
      <w:r>
        <w:rPr>
          <w:sz w:val="28"/>
          <w:szCs w:val="28"/>
        </w:rPr>
        <w:t xml:space="preserve"> – размер увеличения специальной краевой выплаты, </w:t>
      </w:r>
      <w:r>
        <w:rPr>
          <w:sz w:val="28"/>
          <w:szCs w:val="28"/>
        </w:rPr>
        <w:t xml:space="preserve">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Отп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– коэффициент увеличения специальной краевой выплаты.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r>
        <w:rPr>
          <w:b/>
          <w:bCs/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определяется следующим образом: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Кув</w:t>
      </w:r>
      <w:r>
        <w:rPr>
          <w:b w:val="0"/>
          <w:bCs w:val="0"/>
          <w:i/>
          <w:iCs/>
          <w:sz w:val="28"/>
          <w:szCs w:val="28"/>
        </w:rPr>
        <w:t xml:space="preserve"> = (Зпф1 + (СКВ х </w:t>
      </w:r>
      <w:r>
        <w:rPr>
          <w:b w:val="0"/>
          <w:bCs w:val="0"/>
          <w:i/>
          <w:iCs/>
          <w:sz w:val="28"/>
          <w:szCs w:val="28"/>
        </w:rPr>
        <w:t xml:space="preserve">Кмес</w:t>
      </w:r>
      <w:r>
        <w:rPr>
          <w:b w:val="0"/>
          <w:bCs w:val="0"/>
          <w:i/>
          <w:iCs/>
          <w:sz w:val="28"/>
          <w:szCs w:val="28"/>
        </w:rPr>
        <w:t xml:space="preserve"> х Крк) + Зпф2) / (Зпф1 + Зпф2</w:t>
      </w:r>
      <w:r>
        <w:rPr>
          <w:b/>
          <w:bCs/>
          <w:i/>
          <w:iCs/>
          <w:sz w:val="28"/>
          <w:szCs w:val="28"/>
        </w:rPr>
        <w:t xml:space="preserve">), </w:t>
      </w:r>
      <w:r>
        <w:rPr>
          <w:sz w:val="28"/>
          <w:szCs w:val="28"/>
        </w:rPr>
        <w:t xml:space="preserve">(2)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Зпф1</w:t>
      </w:r>
      <w:r>
        <w:rPr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нормативными правовыми актами Российской Федерации, за период до 1 января 2024 года;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Зпф2</w:t>
      </w:r>
      <w:r>
        <w:rPr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СКВ</w:t>
      </w:r>
      <w:r>
        <w:rPr>
          <w:sz w:val="28"/>
          <w:szCs w:val="28"/>
        </w:rPr>
        <w:t xml:space="preserve"> – специальная краевая выплата;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Кмес</w:t>
      </w:r>
      <w:r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Крк</w:t>
      </w:r>
      <w:r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4.5 раздела 4 Положения после слов «установленной пунктом 4.2.2. настоящего положения» дополнить словами «, специальной краевой выплаты».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</w:t>
      </w:r>
      <w:r>
        <w:rPr>
          <w:sz w:val="28"/>
          <w:szCs w:val="28"/>
        </w:rPr>
        <w:t xml:space="preserve"> № 6 к Положению «предельное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учреждений» изложить в редакции согласно приложению № 1 к настоящему решению.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 </w:t>
      </w:r>
      <w:r>
        <w:rPr>
          <w:sz w:val="28"/>
          <w:szCs w:val="28"/>
        </w:rPr>
        <w:t xml:space="preserve">«в»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настоящего решения действует до 31 декабря 2024 года включительно.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Настоящее решение вступает в силу в день, следующий за днем его официального опубликования в городской газете «Рабочий», и распространяет свое действие на правоотношения, возникшие с 01.01.2024.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73"/>
        <w:gridCol w:w="4703"/>
      </w:tblGrid>
      <w:tr>
        <w:trPr>
          <w:jc w:val="center"/>
          <w:trHeight w:val="665"/>
        </w:trPr>
        <w:tc>
          <w:tcPr>
            <w:tcW w:w="487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Председатель Сосновоборского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городского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703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jc w:val="center"/>
          <w:trHeight w:val="629"/>
        </w:trPr>
        <w:tc>
          <w:tcPr>
            <w:tcW w:w="4873" w:type="dxa"/>
            <w:textDirection w:val="lrTb"/>
            <w:noWrap w:val="false"/>
          </w:tcPr>
          <w:p>
            <w:pPr>
              <w:jc w:val="center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 Б.М. Пучкин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703" w:type="dxa"/>
            <w:textDirection w:val="lrTb"/>
            <w:noWrap w:val="false"/>
          </w:tcPr>
          <w:p>
            <w:pPr>
              <w:ind w:firstLine="274"/>
              <w:jc w:val="center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_____________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Д.В.Иванов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jc w:val="both"/>
      </w:pPr>
      <w:r>
        <w:rPr>
          <w:sz w:val="28"/>
          <w:szCs w:val="28"/>
        </w:rPr>
      </w:r>
      <w:r/>
    </w:p>
    <w:p>
      <w:pPr>
        <w:jc w:val="both"/>
        <w:sectPr>
          <w:footnotePr/>
          <w:endnotePr/>
          <w:type w:val="nextPage"/>
          <w:pgSz w:w="11906" w:h="16838" w:orient="portrait"/>
          <w:pgMar w:top="1077" w:right="822" w:bottom="879" w:left="1588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94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 1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89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решению Сосновоборского 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89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городского Совета депутатов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89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22.01.2024</w:t>
      </w:r>
      <w:r>
        <w:rPr>
          <w:rFonts w:ascii="Times New Roman" w:hAnsi="Times New Roman" w:cs="Times New Roman"/>
          <w:sz w:val="24"/>
          <w:szCs w:val="24"/>
        </w:rPr>
        <w:t xml:space="preserve"> № 35/159-р</w:t>
      </w:r>
      <w:r>
        <w:rPr>
          <w:sz w:val="24"/>
          <w:szCs w:val="24"/>
        </w:rPr>
      </w:r>
    </w:p>
    <w:p>
      <w:pPr>
        <w:pStyle w:val="8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</w:pPr>
      <w:r>
        <w:rPr>
          <w:rFonts w:eastAsiaTheme="minorEastAsia"/>
        </w:rPr>
      </w:r>
      <w:r>
        <w:rPr>
          <w:rFonts w:eastAsiaTheme="minorEastAsia"/>
        </w:rPr>
      </w:r>
      <w:r/>
    </w:p>
    <w:p>
      <w:pPr>
        <w:pStyle w:val="901"/>
        <w:jc w:val="center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ПРЕДЕЛЬНОЕ КОЛИЧЕСТВО ДОЛЖНОСТНЫХ ОКЛАДОВ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901"/>
        <w:jc w:val="center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РУКОВОДИТЕЛЕЙ УЧРЕЖДЕНИЙ, УЧИТЫВАЕМЫХ ПРИ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901"/>
        <w:jc w:val="center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ОПРЕДЕЛЕНИИ ОБЪЕМА СРЕДСТВ НА ВЫПЛАТЫ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901"/>
        <w:jc w:val="center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СТИМУЛИРУЮЩЕГО ХАРАКТЕРА РУКОВОДИТЕЛЯМ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901"/>
        <w:jc w:val="center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72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6437"/>
        <w:gridCol w:w="2850"/>
      </w:tblGrid>
      <w:tr>
        <w:trPr>
          <w:cantSplit/>
          <w:jc w:val="center"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Предельное количество должностных окладов руководителя учреждения, подлежащих централизации, в год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Учреждения, подведомственные управлению культуры, спорта, туризма и молодежной политики администрации города: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осуществляющие деятельность в области физической культуры и спорта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360"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W w:w="62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сооружения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36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школа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осуществляющие деятельность в сфере молодежной политики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библиотечно-музейного типа, учреждения культурно-досугового типа, образовательные учреждения культуры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40,6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учреждения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Учреждения, подведомственные управлению образования администрации города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Учреждения, подведомственные администрации города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894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outlineLvl w:val="1"/>
      </w:pPr>
      <w:r>
        <w:rPr>
          <w:rFonts w:eastAsiaTheme="minorEastAsia"/>
          <w:sz w:val="28"/>
          <w:szCs w:val="28"/>
        </w:rPr>
      </w:r>
      <w:r>
        <w:rPr>
          <w:rFonts w:eastAsiaTheme="minorEastAsia"/>
          <w:sz w:val="28"/>
          <w:szCs w:val="28"/>
        </w:rPr>
      </w:r>
      <w:r>
        <w:rPr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766" w:right="794" w:bottom="340" w:left="1474" w:header="284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MS Mincho">
    <w:panose1 w:val="020205030504050903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891"/>
      </w:rPr>
      <w:framePr w:wrap="around" w:vAnchor="text" w:hAnchor="margin" w:xAlign="right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separate"/>
    </w:r>
    <w:r>
      <w:rPr>
        <w:rStyle w:val="891"/>
      </w:rPr>
      <w:t xml:space="preserve">1</w: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9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891"/>
      </w:rPr>
      <w:framePr w:wrap="around" w:vAnchor="text" w:hAnchor="margin" w:xAlign="right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9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pStyle w:val="884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776" w:hanging="1350"/>
        <w:tabs>
          <w:tab w:val="num" w:pos="17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530" w:hanging="990"/>
        <w:tabs>
          <w:tab w:val="num" w:pos="15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60" w:hanging="180"/>
        <w:tabs>
          <w:tab w:val="num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416" w:hanging="990"/>
        <w:tabs>
          <w:tab w:val="num" w:pos="141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2430" w:hanging="1350"/>
        <w:tabs>
          <w:tab w:val="num" w:pos="24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4"/>
        <w:ind w:left="900" w:hanging="360"/>
      </w:pPr>
      <w:rPr>
        <w:rFonts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3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30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5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2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66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4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4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4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4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4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4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4"/>
        <w:ind w:left="270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8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4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4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4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4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4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4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4"/>
        <w:ind w:left="648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 w:ascii="Times New Roman" w:hAnsi="Times New Roman" w:eastAsia="Times New Roman" w:cs="Times New Roman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>
    <w:name w:val="Heading 1"/>
    <w:basedOn w:val="884"/>
    <w:next w:val="884"/>
    <w:link w:val="70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7">
    <w:name w:val="Heading 1 Char"/>
    <w:link w:val="706"/>
    <w:uiPriority w:val="9"/>
    <w:rPr>
      <w:rFonts w:ascii="Arial" w:hAnsi="Arial" w:eastAsia="Arial" w:cs="Arial"/>
      <w:sz w:val="40"/>
      <w:szCs w:val="40"/>
    </w:rPr>
  </w:style>
  <w:style w:type="paragraph" w:styleId="708">
    <w:name w:val="Heading 2"/>
    <w:basedOn w:val="884"/>
    <w:next w:val="884"/>
    <w:link w:val="70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9">
    <w:name w:val="Heading 2 Char"/>
    <w:link w:val="708"/>
    <w:uiPriority w:val="9"/>
    <w:rPr>
      <w:rFonts w:ascii="Arial" w:hAnsi="Arial" w:eastAsia="Arial" w:cs="Arial"/>
      <w:sz w:val="34"/>
    </w:rPr>
  </w:style>
  <w:style w:type="paragraph" w:styleId="710">
    <w:name w:val="Heading 3"/>
    <w:basedOn w:val="884"/>
    <w:next w:val="88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>
    <w:name w:val="Heading 3 Char"/>
    <w:link w:val="710"/>
    <w:uiPriority w:val="9"/>
    <w:rPr>
      <w:rFonts w:ascii="Arial" w:hAnsi="Arial" w:eastAsia="Arial" w:cs="Arial"/>
      <w:sz w:val="30"/>
      <w:szCs w:val="30"/>
    </w:rPr>
  </w:style>
  <w:style w:type="paragraph" w:styleId="712">
    <w:name w:val="Heading 4"/>
    <w:basedOn w:val="884"/>
    <w:next w:val="88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>
    <w:name w:val="Heading 4 Char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884"/>
    <w:next w:val="88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>
    <w:name w:val="Heading 5 Char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>
    <w:name w:val="Heading 6"/>
    <w:basedOn w:val="884"/>
    <w:next w:val="88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>
    <w:name w:val="Heading 6 Char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>
    <w:name w:val="Heading 7"/>
    <w:basedOn w:val="884"/>
    <w:next w:val="88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>
    <w:name w:val="Heading 7 Char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>
    <w:name w:val="Heading 8"/>
    <w:basedOn w:val="884"/>
    <w:next w:val="88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>
    <w:name w:val="Heading 8 Char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>
    <w:name w:val="Heading 9"/>
    <w:basedOn w:val="884"/>
    <w:next w:val="88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>
    <w:name w:val="Heading 9 Char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24">
    <w:name w:val="List Paragraph"/>
    <w:basedOn w:val="884"/>
    <w:uiPriority w:val="34"/>
    <w:qFormat/>
    <w:pPr>
      <w:contextualSpacing/>
      <w:ind w:left="720"/>
    </w:p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4"/>
    <w:next w:val="884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basedOn w:val="884"/>
    <w:next w:val="88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basedOn w:val="884"/>
    <w:next w:val="884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4"/>
    <w:next w:val="884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4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basedOn w:val="884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next w:val="884"/>
    <w:link w:val="884"/>
    <w:qFormat/>
    <w:rPr>
      <w:sz w:val="24"/>
      <w:szCs w:val="24"/>
      <w:lang w:val="en-US" w:eastAsia="en-US" w:bidi="ar-SA"/>
    </w:rPr>
  </w:style>
  <w:style w:type="character" w:styleId="885">
    <w:name w:val="Основной шрифт абзаца"/>
    <w:next w:val="885"/>
    <w:link w:val="884"/>
    <w:semiHidden/>
  </w:style>
  <w:style w:type="table" w:styleId="886">
    <w:name w:val="Обычная таблица"/>
    <w:next w:val="886"/>
    <w:link w:val="884"/>
    <w:semiHidden/>
    <w:tblPr/>
  </w:style>
  <w:style w:type="numbering" w:styleId="887">
    <w:name w:val="Нет списка"/>
    <w:next w:val="887"/>
    <w:link w:val="884"/>
    <w:semiHidden/>
  </w:style>
  <w:style w:type="paragraph" w:styleId="888">
    <w:name w:val="ConsTitle"/>
    <w:next w:val="888"/>
    <w:link w:val="884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en-US" w:bidi="ar-SA"/>
    </w:rPr>
  </w:style>
  <w:style w:type="paragraph" w:styleId="889">
    <w:name w:val=" Знак"/>
    <w:basedOn w:val="884"/>
    <w:next w:val="889"/>
    <w:link w:val="884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90">
    <w:name w:val="Верхний колонтитул"/>
    <w:basedOn w:val="884"/>
    <w:next w:val="890"/>
    <w:link w:val="884"/>
    <w:pPr>
      <w:tabs>
        <w:tab w:val="center" w:pos="4677" w:leader="none"/>
        <w:tab w:val="right" w:pos="9355" w:leader="none"/>
      </w:tabs>
    </w:pPr>
  </w:style>
  <w:style w:type="character" w:styleId="891">
    <w:name w:val="Номер страницы"/>
    <w:basedOn w:val="885"/>
    <w:next w:val="891"/>
    <w:link w:val="884"/>
  </w:style>
  <w:style w:type="paragraph" w:styleId="892">
    <w:name w:val="Текст выноски"/>
    <w:basedOn w:val="884"/>
    <w:next w:val="892"/>
    <w:link w:val="884"/>
    <w:semiHidden/>
    <w:rPr>
      <w:rFonts w:ascii="Tahoma" w:hAnsi="Tahoma" w:cs="Tahoma"/>
      <w:sz w:val="16"/>
      <w:szCs w:val="16"/>
    </w:rPr>
  </w:style>
  <w:style w:type="paragraph" w:styleId="893">
    <w:name w:val=" Знак Знак Знак Знак Знак Знак Знак Знак Знак"/>
    <w:basedOn w:val="884"/>
    <w:next w:val="893"/>
    <w:link w:val="884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94">
    <w:name w:val="ConsPlusNormal"/>
    <w:next w:val="894"/>
    <w:link w:val="884"/>
    <w:pPr>
      <w:ind w:firstLine="720"/>
    </w:pPr>
    <w:rPr>
      <w:rFonts w:ascii="Arial" w:hAnsi="Arial" w:cs="Arial"/>
      <w:lang w:val="ru-RU" w:eastAsia="ru-RU" w:bidi="ar-SA"/>
    </w:rPr>
  </w:style>
  <w:style w:type="character" w:styleId="895">
    <w:name w:val="Гиперссылка"/>
    <w:next w:val="895"/>
    <w:link w:val="884"/>
    <w:rPr>
      <w:color w:val="0000ff"/>
      <w:u w:val="single"/>
    </w:rPr>
  </w:style>
  <w:style w:type="paragraph" w:styleId="896">
    <w:name w:val="Абзац списка"/>
    <w:basedOn w:val="884"/>
    <w:next w:val="896"/>
    <w:link w:val="884"/>
    <w:uiPriority w:val="34"/>
    <w:qFormat/>
    <w:pPr>
      <w:contextualSpacing/>
      <w:ind w:left="720"/>
    </w:pPr>
  </w:style>
  <w:style w:type="character" w:styleId="897" w:default="1">
    <w:name w:val="Default Paragraph Font"/>
    <w:uiPriority w:val="1"/>
    <w:semiHidden/>
    <w:unhideWhenUsed/>
  </w:style>
  <w:style w:type="numbering" w:styleId="898" w:default="1">
    <w:name w:val="No List"/>
    <w:uiPriority w:val="99"/>
    <w:semiHidden/>
    <w:unhideWhenUsed/>
  </w:style>
  <w:style w:type="table" w:styleId="899" w:default="1">
    <w:name w:val="Normal Table"/>
    <w:uiPriority w:val="99"/>
    <w:semiHidden/>
    <w:unhideWhenUsed/>
    <w:tblPr/>
  </w:style>
  <w:style w:type="paragraph" w:styleId="900" w:customStyle="1">
    <w:name w:val="Основной текст1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168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7"/>
      <w:szCs w:val="17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1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Егорова Мария</dc:creator>
  <cp:revision>23</cp:revision>
  <dcterms:created xsi:type="dcterms:W3CDTF">2023-11-07T04:35:00Z</dcterms:created>
  <dcterms:modified xsi:type="dcterms:W3CDTF">2024-01-23T02:42:21Z</dcterms:modified>
  <cp:version>917504</cp:version>
</cp:coreProperties>
</file>