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pPr w:horzAnchor="margin" w:tblpXSpec="left" w:vertAnchor="page" w:tblpY="540" w:leftFromText="180" w:topFromText="0" w:rightFromText="180" w:bottomFromText="200"/>
        <w:tblW w:w="10209" w:type="dxa"/>
        <w:tblLook w:val="01E0" w:firstRow="1" w:lastRow="1" w:firstColumn="1" w:lastColumn="1" w:noHBand="0" w:noVBand="0"/>
      </w:tblPr>
      <w:tblGrid>
        <w:gridCol w:w="10209"/>
      </w:tblGrid>
      <w:tr>
        <w:trPr>
          <w:trHeight w:val="5044"/>
        </w:trPr>
        <w:tc>
          <w:tcPr>
            <w:tcW w:w="10209" w:type="dxa"/>
            <w:textDirection w:val="lrTb"/>
            <w:noWrap w:val="false"/>
          </w:tcPr>
          <w:p>
            <w:pPr>
              <w:jc w:val="center"/>
              <w:keepNext/>
              <w:spacing w:line="276" w:lineRule="auto"/>
              <w:rPr>
                <w:b/>
                <w:bCs/>
                <w:lang w:val="ru-RU" w:eastAsia="ru-RU"/>
              </w:rPr>
              <w:outlineLvl w:val="0"/>
            </w:pPr>
            <w:r>
              <w:rPr>
                <w:sz w:val="32"/>
                <w:lang w:val="ru-RU" w:eastAsia="ru-RU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665480" cy="848360"/>
                      <wp:effectExtent l="0" t="0" r="1270" b="8890"/>
                      <wp:docPr id="1" name="Рисунок 1" descr="Герб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Рисунок 1" descr="Герб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2">
                                <a:grayscl/>
                                <a:biLevel thresh="50000"/>
                              </a:blip>
                              <a:stretch/>
                            </pic:blipFill>
                            <pic:spPr bwMode="auto">
                              <a:xfrm>
                                <a:off x="0" y="0"/>
                                <a:ext cx="665480" cy="848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width:52.4pt;height:66.8pt;mso-wrap-distance-left:0.0pt;mso-wrap-distance-top:0.0pt;mso-wrap-distance-right:0.0pt;mso-wrap-distance-bottom:0.0pt;" stroked="f">
                      <v:path textboxrect="0,0,0,0"/>
                      <v:imagedata r:id="rId12" o:title=""/>
                    </v:shape>
                  </w:pict>
                </mc:Fallback>
              </mc:AlternateContent>
            </w:r>
            <w:r/>
          </w:p>
          <w:p>
            <w:pPr>
              <w:spacing w:line="276" w:lineRule="auto"/>
              <w:rPr>
                <w:lang w:val="ru-RU" w:eastAsia="ru-RU"/>
              </w:rPr>
            </w:pPr>
            <w:r>
              <w:rPr>
                <w:lang w:val="ru-RU" w:eastAsia="ru-RU"/>
              </w:rPr>
            </w:r>
            <w:r/>
          </w:p>
          <w:p>
            <w:pPr>
              <w:jc w:val="center"/>
              <w:spacing w:line="276" w:lineRule="auto"/>
              <w:rPr>
                <w:b/>
                <w:sz w:val="32"/>
                <w:szCs w:val="32"/>
                <w:lang w:val="ru-RU" w:eastAsia="ru-RU"/>
              </w:rPr>
            </w:pPr>
            <w:r>
              <w:rPr>
                <w:b/>
                <w:sz w:val="32"/>
                <w:szCs w:val="32"/>
                <w:lang w:val="ru-RU" w:eastAsia="ru-RU"/>
              </w:rPr>
              <w:t xml:space="preserve">СОСНОВОБОРСКИЙ ГОРОДСКОЙ СОВЕТ ДЕПУТАТОВ</w:t>
            </w:r>
            <w:r/>
          </w:p>
          <w:p>
            <w:pPr>
              <w:spacing w:line="276" w:lineRule="auto"/>
              <w:rPr>
                <w:b/>
                <w:sz w:val="16"/>
                <w:szCs w:val="16"/>
                <w:lang w:val="ru-RU" w:eastAsia="ru-RU"/>
              </w:rPr>
            </w:pPr>
            <w:r>
              <w:rPr>
                <w:b/>
                <w:sz w:val="16"/>
                <w:szCs w:val="16"/>
                <w:lang w:val="ru-RU" w:eastAsia="ru-RU"/>
              </w:rPr>
            </w:r>
            <w:r/>
          </w:p>
          <w:p>
            <w:pPr>
              <w:spacing w:line="276" w:lineRule="auto"/>
              <w:rPr>
                <w:b/>
                <w:sz w:val="16"/>
                <w:szCs w:val="16"/>
                <w:lang w:val="ru-RU" w:eastAsia="ru-RU"/>
              </w:rPr>
            </w:pPr>
            <w:r>
              <w:rPr>
                <w:b/>
                <w:sz w:val="16"/>
                <w:szCs w:val="16"/>
                <w:lang w:val="ru-RU" w:eastAsia="ru-RU"/>
              </w:rPr>
            </w:r>
            <w:r/>
          </w:p>
          <w:p>
            <w:pPr>
              <w:jc w:val="center"/>
              <w:spacing w:line="276" w:lineRule="auto"/>
              <w:rPr>
                <w:b/>
                <w:sz w:val="44"/>
                <w:szCs w:val="44"/>
                <w:lang w:val="ru-RU" w:eastAsia="ru-RU"/>
              </w:rPr>
            </w:pPr>
            <w:r>
              <w:rPr>
                <w:b/>
                <w:sz w:val="44"/>
                <w:szCs w:val="44"/>
                <w:lang w:val="ru-RU" w:eastAsia="ru-RU"/>
              </w:rPr>
              <w:t xml:space="preserve">РЕШЕНИЕ</w:t>
            </w:r>
            <w:r/>
          </w:p>
          <w:p>
            <w:pPr>
              <w:jc w:val="center"/>
              <w:spacing w:line="276" w:lineRule="auto"/>
              <w:rPr>
                <w:lang w:val="ru-RU" w:eastAsia="ru-RU"/>
              </w:rPr>
            </w:pPr>
            <w:r>
              <w:rPr>
                <w:lang w:val="ru-RU" w:eastAsia="ru-RU"/>
              </w:rPr>
            </w:r>
            <w:r/>
          </w:p>
          <w:p>
            <w:pPr>
              <w:jc w:val="center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 w:eastAsia="ru-RU"/>
              </w:rPr>
              <w:t xml:space="preserve">02 октября 2023                                                                                     № 32/144-р</w:t>
            </w:r>
            <w:r>
              <w:rPr>
                <w:sz w:val="28"/>
                <w:szCs w:val="28"/>
              </w:rPr>
            </w:r>
            <w:r/>
          </w:p>
          <w:p>
            <w:pPr>
              <w:jc w:val="center"/>
              <w:spacing w:line="276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г. Сосновоборск</w:t>
            </w:r>
            <w:r/>
          </w:p>
          <w:p>
            <w:pPr>
              <w:jc w:val="center"/>
              <w:spacing w:line="276" w:lineRule="auto"/>
              <w:rPr>
                <w:lang w:val="ru-RU" w:eastAsia="ru-RU"/>
              </w:rPr>
            </w:pPr>
            <w:r>
              <w:rPr>
                <w:lang w:val="ru-RU" w:eastAsia="ru-RU"/>
              </w:rPr>
            </w:r>
            <w:r/>
          </w:p>
          <w:p>
            <w:pPr>
              <w:ind w:right="4896"/>
              <w:jc w:val="both"/>
              <w:spacing w:line="276" w:lineRule="auto"/>
              <w:tabs>
                <w:tab w:val="left" w:pos="9252" w:leader="none"/>
              </w:tabs>
              <w:rPr>
                <w:lang w:val="ru-RU" w:eastAsia="ru-RU"/>
              </w:rPr>
            </w:pPr>
            <w:r>
              <w:rPr>
                <w:lang w:val="ru-RU" w:eastAsia="ru-RU"/>
              </w:rPr>
            </w:r>
            <w:r/>
          </w:p>
        </w:tc>
      </w:tr>
    </w:tbl>
    <w:p>
      <w:pPr>
        <w:ind w:left="0" w:right="4820" w:firstLine="0"/>
        <w:jc w:val="both"/>
        <w:widowControl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О </w:t>
      </w:r>
      <w:r>
        <w:rPr>
          <w:rFonts w:eastAsiaTheme="minorHAnsi"/>
          <w:sz w:val="28"/>
          <w:szCs w:val="28"/>
        </w:rPr>
        <w:t xml:space="preserve">внесении изменений в Решение </w:t>
      </w:r>
      <w:r>
        <w:rPr>
          <w:rFonts w:eastAsiaTheme="minorHAnsi"/>
          <w:sz w:val="28"/>
          <w:szCs w:val="28"/>
        </w:rPr>
        <w:t xml:space="preserve">Сосновоборского городского Совета депутатов </w:t>
      </w:r>
      <w:r>
        <w:rPr>
          <w:rFonts w:eastAsiaTheme="minorHAnsi"/>
          <w:sz w:val="28"/>
          <w:szCs w:val="28"/>
        </w:rPr>
        <w:t xml:space="preserve">от 06.12.2021 </w:t>
      </w:r>
      <w:r>
        <w:rPr>
          <w:rFonts w:eastAsiaTheme="minorHAnsi"/>
          <w:sz w:val="28"/>
          <w:szCs w:val="28"/>
        </w:rPr>
        <w:t xml:space="preserve">№</w:t>
      </w:r>
      <w:r>
        <w:rPr>
          <w:rFonts w:eastAsiaTheme="minorHAnsi"/>
          <w:sz w:val="28"/>
          <w:szCs w:val="28"/>
        </w:rPr>
        <w:t xml:space="preserve"> 14/53-р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«</w:t>
      </w:r>
      <w:r>
        <w:rPr>
          <w:rFonts w:eastAsiaTheme="minorHAnsi"/>
          <w:sz w:val="28"/>
          <w:szCs w:val="28"/>
        </w:rPr>
        <w:t xml:space="preserve">Об утверждении Положения о контрольно-счетном органе города Сосновоборска</w:t>
      </w:r>
      <w:r>
        <w:rPr>
          <w:rFonts w:eastAsiaTheme="minorHAnsi"/>
          <w:sz w:val="28"/>
          <w:szCs w:val="28"/>
        </w:rPr>
        <w:t xml:space="preserve">»</w:t>
      </w:r>
      <w:r>
        <w:rPr>
          <w:sz w:val="28"/>
          <w:szCs w:val="28"/>
        </w:rPr>
      </w:r>
      <w:r/>
    </w:p>
    <w:p>
      <w:pPr>
        <w:pStyle w:val="871"/>
        <w:ind w:left="0" w:firstLine="709"/>
        <w:jc w:val="both"/>
        <w:tabs>
          <w:tab w:val="left" w:pos="426" w:leader="none"/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  <w:lang w:val="ru-RU"/>
        </w:rPr>
      </w:r>
      <w:r>
        <w:rPr>
          <w:sz w:val="28"/>
          <w:szCs w:val="28"/>
        </w:rPr>
      </w:r>
      <w:r/>
    </w:p>
    <w:p>
      <w:pPr>
        <w:ind w:firstLine="567"/>
        <w:jc w:val="both"/>
        <w:widowControl/>
      </w:pPr>
      <w:r>
        <w:rPr>
          <w:spacing w:val="2"/>
          <w:sz w:val="28"/>
          <w:szCs w:val="28"/>
          <w:lang w:eastAsia="ru-RU"/>
        </w:rPr>
        <w:t xml:space="preserve">В</w:t>
      </w:r>
      <w:r>
        <w:rPr>
          <w:spacing w:val="2"/>
          <w:sz w:val="28"/>
          <w:szCs w:val="28"/>
          <w:lang w:eastAsia="ru-RU"/>
        </w:rPr>
        <w:t xml:space="preserve"> целях приведения муниципального правового акта в соответствие с </w:t>
      </w:r>
      <w:r>
        <w:rPr>
          <w:spacing w:val="2"/>
          <w:sz w:val="28"/>
          <w:szCs w:val="28"/>
          <w:lang w:eastAsia="ru-RU"/>
        </w:rPr>
        <w:t xml:space="preserve">действующим законодательством</w:t>
      </w:r>
      <w:r>
        <w:rPr>
          <w:spacing w:val="2"/>
          <w:sz w:val="28"/>
          <w:szCs w:val="28"/>
          <w:lang w:eastAsia="ru-RU"/>
        </w:rPr>
        <w:t xml:space="preserve">, </w:t>
      </w:r>
      <w:r>
        <w:rPr>
          <w:spacing w:val="2"/>
          <w:sz w:val="28"/>
          <w:szCs w:val="28"/>
          <w:lang w:eastAsia="ru-RU"/>
        </w:rPr>
        <w:t xml:space="preserve">в</w:t>
      </w:r>
      <w:r>
        <w:rPr>
          <w:spacing w:val="2"/>
          <w:sz w:val="28"/>
          <w:szCs w:val="28"/>
          <w:lang w:eastAsia="ru-RU"/>
        </w:rPr>
        <w:t xml:space="preserve"> </w:t>
      </w:r>
      <w:r>
        <w:rPr>
          <w:spacing w:val="2"/>
          <w:sz w:val="28"/>
          <w:szCs w:val="28"/>
          <w:lang w:eastAsia="ru-RU"/>
        </w:rPr>
        <w:t xml:space="preserve">соответствии с </w:t>
      </w:r>
      <w:hyperlink r:id="rId13" w:tooltip="consultantplus://offline/ref=5BAABBF23B4E2CF660C2D2A3FE3A3DEEA21963584F9237B6823547F2BB8FB9CF522A3969DE28A865C7253B64E323DDE688E21E596C06C8F5S760C" w:history="1">
        <w:r>
          <w:rPr>
            <w:spacing w:val="2"/>
            <w:sz w:val="28"/>
            <w:szCs w:val="28"/>
            <w:lang w:eastAsia="ru-RU"/>
          </w:rPr>
          <w:t xml:space="preserve">пунктом 4 статьи 7</w:t>
        </w:r>
      </w:hyperlink>
      <w:r>
        <w:rPr>
          <w:spacing w:val="2"/>
          <w:sz w:val="28"/>
          <w:szCs w:val="28"/>
          <w:lang w:val="ru-RU"/>
        </w:rPr>
        <w:t xml:space="preserve"> </w:t>
      </w:r>
      <w:r>
        <w:rPr>
          <w:spacing w:val="2"/>
          <w:sz w:val="28"/>
          <w:szCs w:val="28"/>
          <w:lang w:eastAsia="ru-RU"/>
        </w:rPr>
        <w:t xml:space="preserve">Федерального закона от 06.10.2003 </w:t>
      </w:r>
      <w:r>
        <w:rPr>
          <w:spacing w:val="2"/>
          <w:sz w:val="28"/>
          <w:szCs w:val="28"/>
          <w:lang w:eastAsia="ru-RU"/>
        </w:rPr>
        <w:t xml:space="preserve">№</w:t>
      </w:r>
      <w:r>
        <w:rPr>
          <w:spacing w:val="2"/>
          <w:sz w:val="28"/>
          <w:szCs w:val="28"/>
          <w:lang w:eastAsia="ru-RU"/>
        </w:rPr>
        <w:t xml:space="preserve"> 131-ФЗ «Об общих принципах организации местного самоуправления в Российской </w:t>
      </w:r>
      <w:r>
        <w:rPr>
          <w:spacing w:val="2"/>
          <w:sz w:val="28"/>
          <w:szCs w:val="28"/>
          <w:lang w:eastAsia="ru-RU"/>
        </w:rPr>
        <w:t xml:space="preserve">Федерации», </w:t>
      </w:r>
      <w:r>
        <w:rPr>
          <w:spacing w:val="2"/>
          <w:sz w:val="28"/>
          <w:szCs w:val="28"/>
          <w:lang w:eastAsia="ru-RU"/>
        </w:rPr>
        <w:t xml:space="preserve">статьей 16 </w:t>
      </w:r>
      <w:r>
        <w:rPr>
          <w:spacing w:val="2"/>
          <w:sz w:val="28"/>
          <w:szCs w:val="28"/>
          <w:lang w:eastAsia="ru-RU"/>
        </w:rPr>
        <w:t xml:space="preserve">Федеральн</w:t>
      </w:r>
      <w:r>
        <w:rPr>
          <w:spacing w:val="2"/>
          <w:sz w:val="28"/>
          <w:szCs w:val="28"/>
          <w:lang w:eastAsia="ru-RU"/>
        </w:rPr>
        <w:t xml:space="preserve">ого</w:t>
      </w:r>
      <w:r>
        <w:rPr>
          <w:spacing w:val="2"/>
          <w:sz w:val="28"/>
          <w:szCs w:val="28"/>
          <w:lang w:eastAsia="ru-RU"/>
        </w:rPr>
        <w:t xml:space="preserve"> закон</w:t>
      </w:r>
      <w:r>
        <w:rPr>
          <w:spacing w:val="2"/>
          <w:sz w:val="28"/>
          <w:szCs w:val="28"/>
          <w:lang w:eastAsia="ru-RU"/>
        </w:rPr>
        <w:t xml:space="preserve">а</w:t>
      </w:r>
      <w:r>
        <w:rPr>
          <w:spacing w:val="2"/>
          <w:sz w:val="28"/>
          <w:szCs w:val="28"/>
          <w:lang w:eastAsia="ru-RU"/>
        </w:rPr>
        <w:t xml:space="preserve"> от 10.07.2023 </w:t>
      </w:r>
      <w:r>
        <w:rPr>
          <w:spacing w:val="2"/>
          <w:sz w:val="28"/>
          <w:szCs w:val="28"/>
          <w:lang w:eastAsia="ru-RU"/>
        </w:rPr>
        <w:t xml:space="preserve">№</w:t>
      </w:r>
      <w:bookmarkStart w:id="0" w:name="undefined"/>
      <w:r>
        <w:rPr>
          <w:sz w:val="28"/>
          <w:szCs w:val="28"/>
        </w:rPr>
      </w:r>
      <w:bookmarkEnd w:id="0"/>
      <w:r>
        <w:rPr>
          <w:spacing w:val="2"/>
          <w:sz w:val="28"/>
          <w:szCs w:val="28"/>
          <w:lang w:eastAsia="ru-RU"/>
        </w:rPr>
        <w:t xml:space="preserve"> 286-ФЗ</w:t>
      </w:r>
      <w:r>
        <w:rPr>
          <w:spacing w:val="2"/>
          <w:sz w:val="28"/>
          <w:szCs w:val="28"/>
          <w:lang w:eastAsia="ru-RU"/>
        </w:rPr>
        <w:t xml:space="preserve"> «</w:t>
      </w:r>
      <w:r>
        <w:rPr>
          <w:spacing w:val="2"/>
          <w:sz w:val="28"/>
          <w:szCs w:val="28"/>
          <w:lang w:eastAsia="ru-RU"/>
        </w:rPr>
        <w:t xml:space="preserve">О внесении изменений в отдельные законодатель</w:t>
      </w:r>
      <w:r>
        <w:rPr>
          <w:spacing w:val="2"/>
          <w:sz w:val="28"/>
          <w:szCs w:val="28"/>
          <w:lang w:eastAsia="ru-RU"/>
        </w:rPr>
        <w:t xml:space="preserve">ные акты Российской Федерации»</w:t>
      </w:r>
      <w:r>
        <w:rPr>
          <w:spacing w:val="2"/>
          <w:sz w:val="28"/>
          <w:szCs w:val="28"/>
          <w:lang w:eastAsia="ru-RU"/>
        </w:rPr>
        <w:t xml:space="preserve">, </w:t>
      </w:r>
      <w:r>
        <w:rPr>
          <w:spacing w:val="2"/>
          <w:sz w:val="28"/>
          <w:szCs w:val="28"/>
        </w:rPr>
        <w:t xml:space="preserve">статьей 10 Федерального закона от 10.07.2023 № 287-ФЗ «О внесении изменений в отдельные законодательные акты Российской Федерации»,</w:t>
      </w:r>
      <w:r>
        <w:rPr>
          <w:spacing w:val="2"/>
          <w:sz w:val="28"/>
          <w:szCs w:val="28"/>
          <w:lang w:val="ru-RU"/>
        </w:rPr>
        <w:t xml:space="preserve"> </w:t>
      </w:r>
      <w:r>
        <w:rPr>
          <w:spacing w:val="2"/>
          <w:sz w:val="28"/>
          <w:szCs w:val="28"/>
          <w:lang w:eastAsia="ru-RU"/>
        </w:rPr>
        <w:t xml:space="preserve">учитывая предложение прокурора города Сосновоборска Красноярского края от </w:t>
      </w:r>
      <w:r>
        <w:rPr>
          <w:spacing w:val="2"/>
          <w:sz w:val="28"/>
          <w:szCs w:val="28"/>
          <w:lang w:eastAsia="ru-RU"/>
        </w:rPr>
        <w:t xml:space="preserve">06</w:t>
      </w:r>
      <w:r>
        <w:rPr>
          <w:spacing w:val="2"/>
          <w:sz w:val="28"/>
          <w:szCs w:val="28"/>
          <w:lang w:eastAsia="ru-RU"/>
        </w:rPr>
        <w:t xml:space="preserve">.0</w:t>
      </w:r>
      <w:r>
        <w:rPr>
          <w:spacing w:val="2"/>
          <w:sz w:val="28"/>
          <w:szCs w:val="28"/>
          <w:lang w:eastAsia="ru-RU"/>
        </w:rPr>
        <w:t xml:space="preserve">9</w:t>
      </w:r>
      <w:r>
        <w:rPr>
          <w:spacing w:val="2"/>
          <w:sz w:val="28"/>
          <w:szCs w:val="28"/>
          <w:lang w:eastAsia="ru-RU"/>
        </w:rPr>
        <w:t xml:space="preserve">.202</w:t>
      </w:r>
      <w:r>
        <w:rPr>
          <w:spacing w:val="2"/>
          <w:sz w:val="28"/>
          <w:szCs w:val="28"/>
          <w:lang w:eastAsia="ru-RU"/>
        </w:rPr>
        <w:t xml:space="preserve">3 № 7/3-07-2023</w:t>
      </w:r>
      <w:r>
        <w:rPr>
          <w:spacing w:val="2"/>
          <w:sz w:val="28"/>
          <w:szCs w:val="28"/>
          <w:lang w:eastAsia="ru-RU"/>
        </w:rPr>
        <w:t xml:space="preserve"> о совершенствовании муниципальной нормативной правовой базы, </w:t>
      </w:r>
      <w:r>
        <w:rPr>
          <w:spacing w:val="2"/>
          <w:sz w:val="28"/>
          <w:szCs w:val="28"/>
          <w:lang w:eastAsia="ru-RU"/>
        </w:rPr>
        <w:t xml:space="preserve">руководствуясь положениями статьи 24 Устава города Сосновоборска Красноярского края, Сосновоборский городской Совет депутатов</w:t>
      </w:r>
      <w:r>
        <w:rPr>
          <w:sz w:val="28"/>
          <w:szCs w:val="28"/>
        </w:rPr>
      </w:r>
      <w:r/>
    </w:p>
    <w:p>
      <w:pPr>
        <w:pStyle w:val="867"/>
        <w:ind w:firstLine="567"/>
        <w:jc w:val="both"/>
        <w:spacing w:before="240" w:after="240"/>
        <w:widowControl/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РЕШИЛ:</w:t>
      </w:r>
      <w:r>
        <w:rPr>
          <w:sz w:val="28"/>
          <w:szCs w:val="28"/>
        </w:rPr>
      </w:r>
      <w:r/>
    </w:p>
    <w:p>
      <w:pPr>
        <w:pStyle w:val="871"/>
        <w:numPr>
          <w:ilvl w:val="0"/>
          <w:numId w:val="5"/>
        </w:numPr>
        <w:ind w:left="0" w:firstLine="567"/>
        <w:jc w:val="both"/>
        <w:widowControl/>
      </w:pPr>
      <w:r>
        <w:rPr>
          <w:sz w:val="28"/>
          <w:szCs w:val="28"/>
        </w:rPr>
        <w:t xml:space="preserve">Внести в </w:t>
      </w:r>
      <w:hyperlink r:id="rId14" w:tooltip="consultantplus://offline/ref=EF35E14BDD458F447C553205E576C17A1320FE9AB0F7D5C18356D4DBBDC35CBD76990E7824A09AF2E85BBB7645B73A0FAE22C6D" w:history="1">
        <w:r>
          <w:rPr>
            <w:sz w:val="28"/>
            <w:szCs w:val="28"/>
          </w:rPr>
          <w:t xml:space="preserve">решение</w:t>
        </w:r>
      </w:hyperlink>
      <w:r>
        <w:rPr>
          <w:sz w:val="28"/>
          <w:szCs w:val="28"/>
        </w:rPr>
        <w:t xml:space="preserve"> Сосновоборского городского Совета депутатов </w:t>
      </w:r>
      <w:r>
        <w:rPr>
          <w:sz w:val="28"/>
          <w:szCs w:val="28"/>
        </w:rPr>
        <w:t xml:space="preserve">от 06.12.2021 № 14/53-р «Об утверждении Положения о контрольно-счетном органе города Сосновоборска»</w:t>
      </w:r>
      <w:r>
        <w:rPr>
          <w:sz w:val="28"/>
          <w:szCs w:val="28"/>
        </w:rPr>
        <w:t xml:space="preserve"> следующие изменения:</w:t>
      </w:r>
      <w:r>
        <w:rPr>
          <w:sz w:val="28"/>
          <w:szCs w:val="28"/>
        </w:rPr>
      </w:r>
      <w:r/>
    </w:p>
    <w:p>
      <w:pPr>
        <w:pStyle w:val="871"/>
        <w:numPr>
          <w:ilvl w:val="1"/>
          <w:numId w:val="6"/>
        </w:numPr>
        <w:ind w:left="0" w:firstLine="567"/>
        <w:jc w:val="both"/>
        <w:widowControl/>
      </w:pPr>
      <w:r>
        <w:rPr>
          <w:rFonts w:eastAsiaTheme="minorHAnsi"/>
          <w:sz w:val="28"/>
          <w:szCs w:val="28"/>
        </w:rPr>
        <w:t xml:space="preserve">Пункт 16.6 </w:t>
      </w:r>
      <w:r>
        <w:rPr>
          <w:sz w:val="28"/>
          <w:szCs w:val="28"/>
        </w:rPr>
        <w:t xml:space="preserve">Положения о контрольно-счетном органе города Сосновоборска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(далее – Положение) </w:t>
      </w:r>
      <w:r>
        <w:rPr>
          <w:rFonts w:eastAsiaTheme="minorHAnsi"/>
          <w:sz w:val="28"/>
          <w:szCs w:val="28"/>
        </w:rPr>
        <w:t xml:space="preserve">дополнить абзацем следующего содержания</w:t>
      </w:r>
      <w:r>
        <w:rPr>
          <w:rFonts w:eastAsiaTheme="minorHAnsi"/>
          <w:sz w:val="28"/>
          <w:szCs w:val="28"/>
        </w:rPr>
        <w:t xml:space="preserve">:</w:t>
      </w:r>
      <w:r>
        <w:rPr>
          <w:sz w:val="28"/>
          <w:szCs w:val="28"/>
        </w:rPr>
      </w:r>
      <w:r/>
    </w:p>
    <w:p>
      <w:pPr>
        <w:ind w:firstLine="567"/>
        <w:jc w:val="both"/>
        <w:widowControl/>
        <w:rPr>
          <w:sz w:val="28"/>
          <w:szCs w:val="28"/>
          <w:highlight w:val="none"/>
        </w:rPr>
      </w:pPr>
      <w:r>
        <w:rPr>
          <w:sz w:val="28"/>
          <w:szCs w:val="28"/>
        </w:rPr>
        <w:t xml:space="preserve">«</w:t>
      </w:r>
      <w:r>
        <w:rPr>
          <w:rFonts w:eastAsiaTheme="minorHAnsi"/>
          <w:sz w:val="28"/>
          <w:szCs w:val="28"/>
        </w:rPr>
        <w:t xml:space="preserve">Должностное лицо контрольно-счетн</w:t>
      </w:r>
      <w:r>
        <w:rPr>
          <w:rFonts w:eastAsiaTheme="minorHAnsi"/>
          <w:sz w:val="28"/>
          <w:szCs w:val="28"/>
        </w:rPr>
        <w:t xml:space="preserve">о</w:t>
      </w:r>
      <w:r>
        <w:rPr>
          <w:rFonts w:eastAsiaTheme="minorHAnsi"/>
          <w:sz w:val="28"/>
          <w:szCs w:val="28"/>
        </w:rPr>
        <w:t xml:space="preserve">го органа, замещающее  муниципальную должность,  освобождается от ответственности за несоблюдение ограничений и запретов, требований о предотвращении или об урегулировании конфликта интересов и неи</w:t>
      </w:r>
      <w:r>
        <w:rPr>
          <w:rFonts w:eastAsiaTheme="minorHAnsi"/>
          <w:sz w:val="28"/>
          <w:szCs w:val="28"/>
        </w:rPr>
        <w:t xml:space="preserve">сполнение обязанностей, установленных </w:t>
      </w:r>
      <w:r>
        <w:rPr>
          <w:rFonts w:eastAsia="Calibri"/>
          <w:sz w:val="28"/>
          <w:szCs w:val="28"/>
        </w:rPr>
        <w:t xml:space="preserve">Ф</w:t>
      </w:r>
      <w:r>
        <w:rPr>
          <w:rFonts w:eastAsia="Calibri"/>
          <w:sz w:val="28"/>
          <w:szCs w:val="28"/>
        </w:rPr>
        <w:t xml:space="preserve">едеральным законом от 07.02.2011 № 6-ФЗ «Об общих принципах организации и деятельности контрольно-счетных органов</w:t>
      </w:r>
      <w:r>
        <w:rPr>
          <w:rFonts w:eastAsia="Calibri"/>
          <w:sz w:val="28"/>
          <w:szCs w:val="28"/>
        </w:rPr>
        <w:t xml:space="preserve"> субъектов Российской Федерации, федеральных территорий </w:t>
      </w:r>
      <w:r>
        <w:rPr>
          <w:sz w:val="28"/>
          <w:szCs w:val="28"/>
        </w:rPr>
        <w:t xml:space="preserve">и муниципальных образований</w:t>
      </w:r>
      <w:r>
        <w:rPr>
          <w:rFonts w:eastAsiaTheme="minorHAnsi"/>
          <w:sz w:val="28"/>
          <w:szCs w:val="28"/>
          <w:lang w:val="ru-RU"/>
        </w:rPr>
        <w:t xml:space="preserve">»</w:t>
      </w:r>
      <w:r>
        <w:rPr>
          <w:rFonts w:eastAsiaTheme="minorHAnsi"/>
          <w:sz w:val="28"/>
          <w:szCs w:val="28"/>
        </w:rPr>
        <w:t xml:space="preserve">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</w:t>
      </w:r>
      <w:r>
        <w:rPr>
          <w:rFonts w:eastAsiaTheme="minorHAnsi"/>
          <w:sz w:val="28"/>
          <w:szCs w:val="28"/>
        </w:rPr>
        <w:t xml:space="preserve">следствием не зависящих от него обстоятельств в порядке, предусмотренном частями 3 - 6 </w:t>
      </w:r>
      <w:hyperlink r:id="rId15" w:tooltip="consultantplus://offline/ref=44906469343258BF79336D5FC45D67318EC1564F8FD57981622899BDDDD9CFC2A19A3E1380E9C19090F4D132172FDE7969DFC28795039ED2P6G9G" w:history="1">
        <w:r>
          <w:rPr>
            <w:rFonts w:eastAsiaTheme="minorHAnsi"/>
            <w:color w:val="0000ff"/>
            <w:sz w:val="28"/>
            <w:szCs w:val="28"/>
          </w:rPr>
          <w:t xml:space="preserve">статьи 13</w:t>
        </w:r>
      </w:hyperlink>
      <w:r>
        <w:rPr>
          <w:rFonts w:eastAsiaTheme="minorHAnsi"/>
          <w:sz w:val="28"/>
          <w:szCs w:val="28"/>
        </w:rPr>
        <w:t xml:space="preserve"> Федерального закона от 25 декабря 2008 года N 273-ФЗ</w:t>
      </w:r>
      <w:r>
        <w:rPr>
          <w:rFonts w:eastAsiaTheme="minorHAnsi"/>
          <w:sz w:val="28"/>
          <w:szCs w:val="28"/>
        </w:rPr>
        <w:t xml:space="preserve"> «О противодействии коррупции».»</w:t>
      </w:r>
      <w:r>
        <w:rPr>
          <w:rFonts w:eastAsiaTheme="minorHAnsi"/>
          <w:sz w:val="28"/>
          <w:szCs w:val="28"/>
          <w:lang w:val="ru-RU"/>
        </w:rPr>
        <w:t xml:space="preserve">;</w:t>
      </w:r>
      <w:r>
        <w:rPr>
          <w:sz w:val="28"/>
          <w:szCs w:val="28"/>
        </w:rPr>
      </w:r>
      <w:r/>
    </w:p>
    <w:p>
      <w:pPr>
        <w:ind w:firstLine="567"/>
        <w:jc w:val="both"/>
        <w:widowControl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  <w:highlight w:val="none"/>
          <w:lang w:val="ru-RU"/>
        </w:rPr>
      </w:r>
      <w:r>
        <w:rPr>
          <w:rFonts w:eastAsia="Calibri"/>
          <w:sz w:val="28"/>
          <w:szCs w:val="28"/>
        </w:rPr>
        <w:t xml:space="preserve">1.2. Преамбулу решения Сосновоборского городского Совета депутатов</w:t>
      </w:r>
      <w:r>
        <w:rPr>
          <w:sz w:val="28"/>
          <w:szCs w:val="28"/>
        </w:rPr>
        <w:t xml:space="preserve"> Красноярского края </w:t>
      </w:r>
      <w:r>
        <w:rPr>
          <w:rFonts w:eastAsia="Calibri"/>
          <w:sz w:val="28"/>
          <w:szCs w:val="28"/>
        </w:rPr>
        <w:t xml:space="preserve">от 06.12.2021 № 14/53-р «Об утверждении Положения о контрольно-счетном органе города Сосновоборска», </w:t>
      </w:r>
      <w:r>
        <w:rPr>
          <w:rFonts w:eastAsia="Calibri"/>
          <w:sz w:val="28"/>
          <w:szCs w:val="28"/>
        </w:rPr>
        <w:t xml:space="preserve">под</w:t>
      </w:r>
      <w:r>
        <w:rPr>
          <w:rFonts w:eastAsia="Calibri"/>
          <w:sz w:val="28"/>
          <w:szCs w:val="28"/>
        </w:rPr>
        <w:t xml:space="preserve">пункты 1.2, 5.6 </w:t>
      </w:r>
      <w:r>
        <w:rPr>
          <w:sz w:val="28"/>
          <w:szCs w:val="28"/>
        </w:rPr>
        <w:t xml:space="preserve">Положения о контрольно-счетном органе города Сосновоборска</w:t>
      </w:r>
      <w:r>
        <w:rPr>
          <w:rFonts w:eastAsia="Calibri"/>
          <w:sz w:val="28"/>
          <w:szCs w:val="28"/>
        </w:rPr>
        <w:t xml:space="preserve"> после слов «субъектов Российской Федерации» дополнить словами «, федеральных территорий».</w:t>
      </w:r>
      <w:r>
        <w:rPr>
          <w:rFonts w:eastAsia="Calibri"/>
          <w:sz w:val="28"/>
          <w:szCs w:val="28"/>
          <w:lang w:val="ru-RU"/>
        </w:rPr>
        <w:t xml:space="preserve"> </w:t>
      </w:r>
      <w:r/>
    </w:p>
    <w:p>
      <w:pPr>
        <w:pStyle w:val="871"/>
        <w:numPr>
          <w:ilvl w:val="0"/>
          <w:numId w:val="6"/>
        </w:numPr>
        <w:ind w:left="0" w:firstLine="709"/>
        <w:jc w:val="both"/>
        <w:widowControl/>
        <w:tabs>
          <w:tab w:val="left" w:pos="1134" w:leader="none"/>
        </w:tabs>
      </w:pPr>
      <w:r>
        <w:rPr>
          <w:sz w:val="28"/>
          <w:szCs w:val="28"/>
        </w:rPr>
        <w:t xml:space="preserve">Контроль за исполнением решения возложить на постоянную комиссию по правовым вопросам Сосновоборского городского Совета депутатов (</w:t>
      </w:r>
      <w:r>
        <w:rPr>
          <w:sz w:val="28"/>
          <w:szCs w:val="28"/>
        </w:rPr>
        <w:t xml:space="preserve">Залетаева</w:t>
      </w:r>
      <w:r>
        <w:rPr>
          <w:sz w:val="28"/>
          <w:szCs w:val="28"/>
        </w:rPr>
        <w:t xml:space="preserve"> Н.А.)</w:t>
      </w:r>
      <w:r>
        <w:rPr>
          <w:i/>
          <w:sz w:val="28"/>
          <w:szCs w:val="28"/>
        </w:rPr>
        <w:t xml:space="preserve">.</w:t>
      </w:r>
      <w:r>
        <w:rPr>
          <w:sz w:val="28"/>
          <w:szCs w:val="28"/>
        </w:rPr>
      </w:r>
      <w:r/>
    </w:p>
    <w:p>
      <w:pPr>
        <w:pStyle w:val="871"/>
        <w:numPr>
          <w:ilvl w:val="0"/>
          <w:numId w:val="6"/>
        </w:numPr>
        <w:ind w:left="0" w:firstLine="709"/>
        <w:jc w:val="both"/>
        <w:widowControl/>
        <w:tabs>
          <w:tab w:val="left" w:pos="1134" w:leader="none"/>
        </w:tabs>
        <w:rPr>
          <w:rFonts w:ascii="Times New Roman" w:hAnsi="Times New Roman" w:cs="Times New Roman" w:eastAsiaTheme="minorHAnsi"/>
          <w:b w:val="0"/>
          <w:bCs/>
          <w:i/>
          <w:spacing w:val="2"/>
        </w:rPr>
      </w:pPr>
      <w:r>
        <w:rPr>
          <w:sz w:val="28"/>
          <w:szCs w:val="28"/>
        </w:rPr>
        <w:t xml:space="preserve">Решение вступает в силу в день, следующий за днем его официального опубликования в городской газете «Рабочий»</w:t>
      </w:r>
      <w:r>
        <w:rPr>
          <w:i/>
          <w:sz w:val="28"/>
          <w:szCs w:val="28"/>
        </w:rPr>
        <w:t xml:space="preserve">.</w:t>
      </w:r>
      <w:r>
        <w:rPr>
          <w:sz w:val="28"/>
          <w:szCs w:val="28"/>
        </w:rPr>
      </w:r>
      <w:r/>
    </w:p>
    <w:p>
      <w:pPr>
        <w:pStyle w:val="871"/>
        <w:ind w:left="0" w:firstLine="709"/>
        <w:jc w:val="both"/>
        <w:tabs>
          <w:tab w:val="left" w:pos="426" w:leader="none"/>
          <w:tab w:val="left" w:pos="993" w:leader="none"/>
        </w:tabs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871"/>
        <w:ind w:left="0" w:firstLine="709"/>
        <w:jc w:val="both"/>
        <w:tabs>
          <w:tab w:val="left" w:pos="426" w:leader="none"/>
          <w:tab w:val="left" w:pos="993" w:leader="none"/>
        </w:tabs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871"/>
        <w:ind w:left="0" w:firstLine="709"/>
        <w:jc w:val="both"/>
        <w:tabs>
          <w:tab w:val="left" w:pos="426" w:leader="none"/>
          <w:tab w:val="left" w:pos="993" w:leader="none"/>
        </w:tabs>
        <w:rPr>
          <w:rFonts w:eastAsiaTheme="minorHAnsi"/>
        </w:rPr>
      </w:pPr>
      <w:r>
        <w:rPr>
          <w:rFonts w:eastAsiaTheme="minorHAnsi"/>
        </w:rPr>
      </w:r>
      <w:r/>
    </w:p>
    <w:tbl>
      <w:tblPr>
        <w:tblW w:w="0" w:type="auto"/>
        <w:tblLook w:val="04A0" w:firstRow="1" w:lastRow="0" w:firstColumn="1" w:lastColumn="0" w:noHBand="0" w:noVBand="1"/>
      </w:tblPr>
      <w:tblGrid>
        <w:gridCol w:w="5001"/>
        <w:gridCol w:w="4921"/>
      </w:tblGrid>
      <w:tr>
        <w:trPr>
          <w:trHeight w:val="1561"/>
        </w:trPr>
        <w:tc>
          <w:tcPr>
            <w:tcW w:w="5125" w:type="dxa"/>
            <w:textDirection w:val="lrTb"/>
            <w:noWrap w:val="false"/>
          </w:tcPr>
          <w:p>
            <w:pPr>
              <w:contextualSpacing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none"/>
                <w:lang w:val="ru-RU"/>
              </w:rPr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pStyle w:val="854"/>
              <w:contextualSpacing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Председатель Сосновоборского </w:t>
              <w:br/>
              <w:t xml:space="preserve">городского Совета депутатов     </w:t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pStyle w:val="854"/>
              <w:contextualSpacing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                                               </w:t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pStyle w:val="854"/>
              <w:contextualSpacing/>
              <w:jc w:val="center"/>
              <w:rPr>
                <w:rFonts w:ascii="Times New Roman" w:hAnsi="Times New Roman" w:cs="Times New Roman"/>
                <w:color w:val="000000"/>
                <w:highlight w:val="non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                      Б.М.Пучкин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none"/>
              </w:rPr>
            </w:r>
            <w:r/>
          </w:p>
        </w:tc>
        <w:tc>
          <w:tcPr>
            <w:tcW w:w="5053" w:type="dxa"/>
            <w:textDirection w:val="lrTb"/>
            <w:noWrap w:val="false"/>
          </w:tcPr>
          <w:p>
            <w:pPr>
              <w:contextualSpacing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none"/>
                <w:lang w:val="ru-RU"/>
              </w:rPr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pStyle w:val="854"/>
              <w:contextualSpacing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И.о.  Главы города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Сосновоборска</w:t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pStyle w:val="854"/>
              <w:contextualSpacing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pStyle w:val="854"/>
              <w:contextualSpacing/>
              <w:jc w:val="center"/>
              <w:rPr>
                <w:rFonts w:ascii="Times New Roman" w:hAnsi="Times New Roman" w:cs="Times New Roman"/>
                <w:color w:val="000000"/>
                <w:highlight w:val="non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                                     Д.В.Иванов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none"/>
              </w:rPr>
            </w:r>
            <w:r/>
          </w:p>
        </w:tc>
      </w:tr>
    </w:tbl>
    <w:p>
      <w:pPr>
        <w:ind w:right="-23" w:firstLine="0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sectPr>
      <w:headerReference w:type="default" r:id="rId9"/>
      <w:headerReference w:type="even" r:id="rId10"/>
      <w:footnotePr/>
      <w:endnotePr/>
      <w:type w:val="nextPage"/>
      <w:pgSz w:w="11906" w:h="16838" w:orient="portrait"/>
      <w:pgMar w:top="568" w:right="707" w:bottom="426" w:left="1418" w:header="284" w:footer="0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</w:font>
  <w:font w:name="Calibri">
    <w:panose1 w:val="020F0502020204030204"/>
  </w:font>
  <w:font w:name="Tahoma">
    <w:panose1 w:val="020B0604030504040204"/>
  </w:font>
  <w:font w:name="Times New Roman">
    <w:panose1 w:val="02020603050405020304"/>
  </w:font>
  <w:font w:name="NSimSun">
    <w:panose1 w:val="02010609030101010101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60"/>
      <w:rPr>
        <w:rStyle w:val="862"/>
      </w:rPr>
      <w:framePr w:wrap="around" w:vAnchor="text" w:hAnchor="margin" w:xAlign="right" w:y="1"/>
    </w:pPr>
    <w:r/>
    <w:r/>
  </w:p>
  <w:p>
    <w:pPr>
      <w:pStyle w:val="860"/>
      <w:ind w:right="360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60"/>
      <w:rPr>
        <w:rStyle w:val="862"/>
      </w:rPr>
      <w:framePr w:wrap="around" w:vAnchor="text" w:hAnchor="margin" w:xAlign="right" w:y="1"/>
    </w:pPr>
    <w:r>
      <w:rPr>
        <w:rStyle w:val="862"/>
      </w:rPr>
      <w:fldChar w:fldCharType="begin"/>
    </w:r>
    <w:r>
      <w:rPr>
        <w:rStyle w:val="862"/>
      </w:rPr>
      <w:instrText xml:space="preserve">PAGE  </w:instrText>
    </w:r>
    <w:r>
      <w:rPr>
        <w:rStyle w:val="862"/>
      </w:rPr>
      <w:fldChar w:fldCharType="end"/>
    </w:r>
    <w:r/>
  </w:p>
  <w:p>
    <w:pPr>
      <w:pStyle w:val="860"/>
      <w:ind w:right="360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759" w:hanging="105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75" w:hanging="57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5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572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29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3012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73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45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172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89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61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332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decimal"/>
      <w:isLgl/>
      <w:suff w:val="tab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54"/>
        <w:ind w:left="450" w:hanging="450"/>
      </w:pPr>
    </w:lvl>
    <w:lvl w:ilvl="1">
      <w:start w:val="1"/>
      <w:numFmt w:val="decimal"/>
      <w:isLgl w:val="false"/>
      <w:suff w:val="tab"/>
      <w:lvlText w:val="%1.%2."/>
      <w:lvlJc w:val="left"/>
      <w:pPr>
        <w:pStyle w:val="854"/>
        <w:ind w:left="1287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854"/>
        <w:ind w:left="1854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854"/>
        <w:ind w:left="2781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854"/>
        <w:ind w:left="3348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854"/>
        <w:ind w:left="4275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854"/>
        <w:ind w:left="5202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854"/>
        <w:ind w:left="5769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854"/>
        <w:ind w:left="6696" w:hanging="216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54"/>
        <w:ind w:left="450" w:hanging="450"/>
      </w:pPr>
    </w:lvl>
    <w:lvl w:ilvl="1">
      <w:start w:val="1"/>
      <w:numFmt w:val="decimal"/>
      <w:isLgl w:val="false"/>
      <w:suff w:val="tab"/>
      <w:lvlText w:val="%1.%2."/>
      <w:lvlJc w:val="left"/>
      <w:pPr>
        <w:pStyle w:val="854"/>
        <w:ind w:left="1287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854"/>
        <w:ind w:left="1854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854"/>
        <w:ind w:left="2781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854"/>
        <w:ind w:left="3348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854"/>
        <w:ind w:left="4275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854"/>
        <w:ind w:left="5202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854"/>
        <w:ind w:left="5769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854"/>
        <w:ind w:left="6696" w:hanging="21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80">
    <w:name w:val="Heading 1 Char"/>
    <w:basedOn w:val="856"/>
    <w:link w:val="855"/>
    <w:uiPriority w:val="9"/>
    <w:rPr>
      <w:rFonts w:ascii="Arial" w:hAnsi="Arial" w:eastAsia="Arial" w:cs="Arial"/>
      <w:sz w:val="40"/>
      <w:szCs w:val="40"/>
    </w:rPr>
  </w:style>
  <w:style w:type="paragraph" w:styleId="681">
    <w:name w:val="Heading 2"/>
    <w:basedOn w:val="854"/>
    <w:next w:val="854"/>
    <w:link w:val="682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82">
    <w:name w:val="Heading 2 Char"/>
    <w:basedOn w:val="856"/>
    <w:link w:val="681"/>
    <w:uiPriority w:val="9"/>
    <w:rPr>
      <w:rFonts w:ascii="Arial" w:hAnsi="Arial" w:eastAsia="Arial" w:cs="Arial"/>
      <w:sz w:val="34"/>
    </w:rPr>
  </w:style>
  <w:style w:type="paragraph" w:styleId="683">
    <w:name w:val="Heading 3"/>
    <w:basedOn w:val="854"/>
    <w:next w:val="854"/>
    <w:link w:val="684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84">
    <w:name w:val="Heading 3 Char"/>
    <w:basedOn w:val="856"/>
    <w:link w:val="683"/>
    <w:uiPriority w:val="9"/>
    <w:rPr>
      <w:rFonts w:ascii="Arial" w:hAnsi="Arial" w:eastAsia="Arial" w:cs="Arial"/>
      <w:sz w:val="30"/>
      <w:szCs w:val="30"/>
    </w:rPr>
  </w:style>
  <w:style w:type="paragraph" w:styleId="685">
    <w:name w:val="Heading 4"/>
    <w:basedOn w:val="854"/>
    <w:next w:val="854"/>
    <w:link w:val="686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86">
    <w:name w:val="Heading 4 Char"/>
    <w:basedOn w:val="856"/>
    <w:link w:val="685"/>
    <w:uiPriority w:val="9"/>
    <w:rPr>
      <w:rFonts w:ascii="Arial" w:hAnsi="Arial" w:eastAsia="Arial" w:cs="Arial"/>
      <w:b/>
      <w:bCs/>
      <w:sz w:val="26"/>
      <w:szCs w:val="26"/>
    </w:rPr>
  </w:style>
  <w:style w:type="paragraph" w:styleId="687">
    <w:name w:val="Heading 5"/>
    <w:basedOn w:val="854"/>
    <w:next w:val="854"/>
    <w:link w:val="688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88">
    <w:name w:val="Heading 5 Char"/>
    <w:basedOn w:val="856"/>
    <w:link w:val="687"/>
    <w:uiPriority w:val="9"/>
    <w:rPr>
      <w:rFonts w:ascii="Arial" w:hAnsi="Arial" w:eastAsia="Arial" w:cs="Arial"/>
      <w:b/>
      <w:bCs/>
      <w:sz w:val="24"/>
      <w:szCs w:val="24"/>
    </w:rPr>
  </w:style>
  <w:style w:type="paragraph" w:styleId="689">
    <w:name w:val="Heading 6"/>
    <w:basedOn w:val="854"/>
    <w:next w:val="854"/>
    <w:link w:val="690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90">
    <w:name w:val="Heading 6 Char"/>
    <w:basedOn w:val="856"/>
    <w:link w:val="689"/>
    <w:uiPriority w:val="9"/>
    <w:rPr>
      <w:rFonts w:ascii="Arial" w:hAnsi="Arial" w:eastAsia="Arial" w:cs="Arial"/>
      <w:b/>
      <w:bCs/>
      <w:sz w:val="22"/>
      <w:szCs w:val="22"/>
    </w:rPr>
  </w:style>
  <w:style w:type="paragraph" w:styleId="691">
    <w:name w:val="Heading 7"/>
    <w:basedOn w:val="854"/>
    <w:next w:val="854"/>
    <w:link w:val="692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92">
    <w:name w:val="Heading 7 Char"/>
    <w:basedOn w:val="856"/>
    <w:link w:val="691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93">
    <w:name w:val="Heading 8"/>
    <w:basedOn w:val="854"/>
    <w:next w:val="854"/>
    <w:link w:val="694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94">
    <w:name w:val="Heading 8 Char"/>
    <w:basedOn w:val="856"/>
    <w:link w:val="693"/>
    <w:uiPriority w:val="9"/>
    <w:rPr>
      <w:rFonts w:ascii="Arial" w:hAnsi="Arial" w:eastAsia="Arial" w:cs="Arial"/>
      <w:i/>
      <w:iCs/>
      <w:sz w:val="22"/>
      <w:szCs w:val="22"/>
    </w:rPr>
  </w:style>
  <w:style w:type="paragraph" w:styleId="695">
    <w:name w:val="Heading 9"/>
    <w:basedOn w:val="854"/>
    <w:next w:val="854"/>
    <w:link w:val="696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96">
    <w:name w:val="Heading 9 Char"/>
    <w:basedOn w:val="856"/>
    <w:link w:val="695"/>
    <w:uiPriority w:val="9"/>
    <w:rPr>
      <w:rFonts w:ascii="Arial" w:hAnsi="Arial" w:eastAsia="Arial" w:cs="Arial"/>
      <w:i/>
      <w:iCs/>
      <w:sz w:val="21"/>
      <w:szCs w:val="21"/>
    </w:rPr>
  </w:style>
  <w:style w:type="paragraph" w:styleId="697">
    <w:name w:val="No Spacing"/>
    <w:uiPriority w:val="1"/>
    <w:qFormat/>
    <w:pPr>
      <w:spacing w:before="0" w:after="0" w:line="240" w:lineRule="auto"/>
    </w:pPr>
  </w:style>
  <w:style w:type="paragraph" w:styleId="698">
    <w:name w:val="Title"/>
    <w:basedOn w:val="854"/>
    <w:next w:val="854"/>
    <w:link w:val="699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99">
    <w:name w:val="Title Char"/>
    <w:basedOn w:val="856"/>
    <w:link w:val="698"/>
    <w:uiPriority w:val="10"/>
    <w:rPr>
      <w:sz w:val="48"/>
      <w:szCs w:val="48"/>
    </w:rPr>
  </w:style>
  <w:style w:type="paragraph" w:styleId="700">
    <w:name w:val="Subtitle"/>
    <w:basedOn w:val="854"/>
    <w:next w:val="854"/>
    <w:link w:val="701"/>
    <w:uiPriority w:val="11"/>
    <w:qFormat/>
    <w:pPr>
      <w:spacing w:before="200" w:after="200"/>
    </w:pPr>
    <w:rPr>
      <w:sz w:val="24"/>
      <w:szCs w:val="24"/>
    </w:rPr>
  </w:style>
  <w:style w:type="character" w:styleId="701">
    <w:name w:val="Subtitle Char"/>
    <w:basedOn w:val="856"/>
    <w:link w:val="700"/>
    <w:uiPriority w:val="11"/>
    <w:rPr>
      <w:sz w:val="24"/>
      <w:szCs w:val="24"/>
    </w:rPr>
  </w:style>
  <w:style w:type="paragraph" w:styleId="702">
    <w:name w:val="Quote"/>
    <w:basedOn w:val="854"/>
    <w:next w:val="854"/>
    <w:link w:val="703"/>
    <w:uiPriority w:val="29"/>
    <w:qFormat/>
    <w:pPr>
      <w:ind w:left="720" w:right="720"/>
    </w:pPr>
    <w:rPr>
      <w:i/>
    </w:rPr>
  </w:style>
  <w:style w:type="character" w:styleId="703">
    <w:name w:val="Quote Char"/>
    <w:link w:val="702"/>
    <w:uiPriority w:val="29"/>
    <w:rPr>
      <w:i/>
    </w:rPr>
  </w:style>
  <w:style w:type="paragraph" w:styleId="704">
    <w:name w:val="Intense Quote"/>
    <w:basedOn w:val="854"/>
    <w:next w:val="854"/>
    <w:link w:val="705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05">
    <w:name w:val="Intense Quote Char"/>
    <w:link w:val="704"/>
    <w:uiPriority w:val="30"/>
    <w:rPr>
      <w:i/>
    </w:rPr>
  </w:style>
  <w:style w:type="character" w:styleId="706">
    <w:name w:val="Header Char"/>
    <w:basedOn w:val="856"/>
    <w:link w:val="860"/>
    <w:uiPriority w:val="99"/>
  </w:style>
  <w:style w:type="paragraph" w:styleId="707">
    <w:name w:val="Footer"/>
    <w:basedOn w:val="854"/>
    <w:link w:val="710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08">
    <w:name w:val="Footer Char"/>
    <w:basedOn w:val="856"/>
    <w:link w:val="707"/>
    <w:uiPriority w:val="99"/>
  </w:style>
  <w:style w:type="paragraph" w:styleId="709">
    <w:name w:val="Caption"/>
    <w:basedOn w:val="854"/>
    <w:next w:val="854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10">
    <w:name w:val="Caption Char"/>
    <w:basedOn w:val="709"/>
    <w:link w:val="707"/>
    <w:uiPriority w:val="99"/>
  </w:style>
  <w:style w:type="table" w:styleId="711">
    <w:name w:val="Table Grid"/>
    <w:basedOn w:val="857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2">
    <w:name w:val="Table Grid Light"/>
    <w:basedOn w:val="857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3">
    <w:name w:val="Plain Table 1"/>
    <w:basedOn w:val="857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4">
    <w:name w:val="Plain Table 2"/>
    <w:basedOn w:val="857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5">
    <w:name w:val="Plain Table 3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16">
    <w:name w:val="Plain Table 4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7">
    <w:name w:val="Plain Table 5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18">
    <w:name w:val="Grid Table 1 Light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9">
    <w:name w:val="Grid Table 1 Light - Accent 1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0">
    <w:name w:val="Grid Table 1 Light - Accent 2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1">
    <w:name w:val="Grid Table 1 Light - Accent 3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2">
    <w:name w:val="Grid Table 1 Light - Accent 4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3">
    <w:name w:val="Grid Table 1 Light - Accent 5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4">
    <w:name w:val="Grid Table 1 Light - Accent 6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5">
    <w:name w:val="Grid Table 2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Grid Table 2 - Accent 1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Grid Table 2 - Accent 2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Grid Table 2 - Accent 3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Grid Table 2 - Accent 4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Grid Table 2 - Accent 5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Grid Table 2 - Accent 6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Grid Table 3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Grid Table 3 - Accent 1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Grid Table 3 - Accent 2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Grid Table 3 - Accent 3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>
    <w:name w:val="Grid Table 3 - Accent 4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Grid Table 3 - Accent 5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Grid Table 3 - Accent 6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Grid Table 4"/>
    <w:basedOn w:val="85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40">
    <w:name w:val="Grid Table 4 - Accent 1"/>
    <w:basedOn w:val="85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41">
    <w:name w:val="Grid Table 4 - Accent 2"/>
    <w:basedOn w:val="85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42">
    <w:name w:val="Grid Table 4 - Accent 3"/>
    <w:basedOn w:val="85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43">
    <w:name w:val="Grid Table 4 - Accent 4"/>
    <w:basedOn w:val="85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44">
    <w:name w:val="Grid Table 4 - Accent 5"/>
    <w:basedOn w:val="85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45">
    <w:name w:val="Grid Table 4 - Accent 6"/>
    <w:basedOn w:val="85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46">
    <w:name w:val="Grid Table 5 Dark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47">
    <w:name w:val="Grid Table 5 Dark- Accent 1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48">
    <w:name w:val="Grid Table 5 Dark - Accent 2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49">
    <w:name w:val="Grid Table 5 Dark - Accent 3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50">
    <w:name w:val="Grid Table 5 Dark- Accent 4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51">
    <w:name w:val="Grid Table 5 Dark - Accent 5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52">
    <w:name w:val="Grid Table 5 Dark - Accent 6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53">
    <w:name w:val="Grid Table 6 Colorful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54">
    <w:name w:val="Grid Table 6 Colorful - Accent 1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55">
    <w:name w:val="Grid Table 6 Colorful - Accent 2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56">
    <w:name w:val="Grid Table 6 Colorful - Accent 3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57">
    <w:name w:val="Grid Table 6 Colorful - Accent 4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58">
    <w:name w:val="Grid Table 6 Colorful - Accent 5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59">
    <w:name w:val="Grid Table 6 Colorful - Accent 6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60">
    <w:name w:val="Grid Table 7 Colorful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>
    <w:name w:val="Grid Table 7 Colorful - Accent 1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>
    <w:name w:val="Grid Table 7 Colorful - Accent 2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>
    <w:name w:val="Grid Table 7 Colorful - Accent 3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>
    <w:name w:val="Grid Table 7 Colorful - Accent 4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5">
    <w:name w:val="Grid Table 7 Colorful - Accent 5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6">
    <w:name w:val="Grid Table 7 Colorful - Accent 6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7">
    <w:name w:val="List Table 1 Light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8">
    <w:name w:val="List Table 1 Light - Accent 1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9">
    <w:name w:val="List Table 1 Light - Accent 2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0">
    <w:name w:val="List Table 1 Light - Accent 3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1">
    <w:name w:val="List Table 1 Light - Accent 4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2">
    <w:name w:val="List Table 1 Light - Accent 5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3">
    <w:name w:val="List Table 1 Light - Accent 6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4">
    <w:name w:val="List Table 2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75">
    <w:name w:val="List Table 2 - Accent 1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76">
    <w:name w:val="List Table 2 - Accent 2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77">
    <w:name w:val="List Table 2 - Accent 3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78">
    <w:name w:val="List Table 2 - Accent 4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79">
    <w:name w:val="List Table 2 - Accent 5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80">
    <w:name w:val="List Table 2 - Accent 6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81">
    <w:name w:val="List Table 3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>
    <w:name w:val="List Table 3 - Accent 1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>
    <w:name w:val="List Table 3 - Accent 2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>
    <w:name w:val="List Table 3 - Accent 3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>
    <w:name w:val="List Table 3 - Accent 4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>
    <w:name w:val="List Table 3 - Accent 5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>
    <w:name w:val="List Table 3 - Accent 6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>
    <w:name w:val="List Table 4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>
    <w:name w:val="List Table 4 - Accent 1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>
    <w:name w:val="List Table 4 - Accent 2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>
    <w:name w:val="List Table 4 - Accent 3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>
    <w:name w:val="List Table 4 - Accent 4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>
    <w:name w:val="List Table 4 - Accent 5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>
    <w:name w:val="List Table 4 - Accent 6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>
    <w:name w:val="List Table 5 Dark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6">
    <w:name w:val="List Table 5 Dark - Accent 1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7">
    <w:name w:val="List Table 5 Dark - Accent 2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8">
    <w:name w:val="List Table 5 Dark - Accent 3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9">
    <w:name w:val="List Table 5 Dark - Accent 4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0">
    <w:name w:val="List Table 5 Dark - Accent 5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1">
    <w:name w:val="List Table 5 Dark - Accent 6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2">
    <w:name w:val="List Table 6 Colorful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03">
    <w:name w:val="List Table 6 Colorful - Accent 1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04">
    <w:name w:val="List Table 6 Colorful - Accent 2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05">
    <w:name w:val="List Table 6 Colorful - Accent 3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06">
    <w:name w:val="List Table 6 Colorful - Accent 4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07">
    <w:name w:val="List Table 6 Colorful - Accent 5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08">
    <w:name w:val="List Table 6 Colorful - Accent 6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09">
    <w:name w:val="List Table 7 Colorful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10">
    <w:name w:val="List Table 7 Colorful - Accent 1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11">
    <w:name w:val="List Table 7 Colorful - Accent 2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12">
    <w:name w:val="List Table 7 Colorful - Accent 3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13">
    <w:name w:val="List Table 7 Colorful - Accent 4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14">
    <w:name w:val="List Table 7 Colorful - Accent 5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15">
    <w:name w:val="List Table 7 Colorful - Accent 6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16">
    <w:name w:val="Lined - Accent"/>
    <w:basedOn w:val="85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17">
    <w:name w:val="Lined - Accent 1"/>
    <w:basedOn w:val="85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18">
    <w:name w:val="Lined - Accent 2"/>
    <w:basedOn w:val="85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19">
    <w:name w:val="Lined - Accent 3"/>
    <w:basedOn w:val="85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20">
    <w:name w:val="Lined - Accent 4"/>
    <w:basedOn w:val="85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21">
    <w:name w:val="Lined - Accent 5"/>
    <w:basedOn w:val="85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22">
    <w:name w:val="Lined - Accent 6"/>
    <w:basedOn w:val="85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23">
    <w:name w:val="Bordered &amp; Lined - Accent"/>
    <w:basedOn w:val="85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24">
    <w:name w:val="Bordered &amp; Lined - Accent 1"/>
    <w:basedOn w:val="85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25">
    <w:name w:val="Bordered &amp; Lined - Accent 2"/>
    <w:basedOn w:val="85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26">
    <w:name w:val="Bordered &amp; Lined - Accent 3"/>
    <w:basedOn w:val="85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27">
    <w:name w:val="Bordered &amp; Lined - Accent 4"/>
    <w:basedOn w:val="85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28">
    <w:name w:val="Bordered &amp; Lined - Accent 5"/>
    <w:basedOn w:val="85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29">
    <w:name w:val="Bordered &amp; Lined - Accent 6"/>
    <w:basedOn w:val="85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30">
    <w:name w:val="Bordered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31">
    <w:name w:val="Bordered - Accent 1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32">
    <w:name w:val="Bordered - Accent 2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33">
    <w:name w:val="Bordered - Accent 3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34">
    <w:name w:val="Bordered - Accent 4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35">
    <w:name w:val="Bordered - Accent 5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36">
    <w:name w:val="Bordered - Accent 6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837">
    <w:name w:val="footnote text"/>
    <w:basedOn w:val="854"/>
    <w:link w:val="838"/>
    <w:uiPriority w:val="99"/>
    <w:semiHidden/>
    <w:unhideWhenUsed/>
    <w:pPr>
      <w:spacing w:after="40" w:line="240" w:lineRule="auto"/>
    </w:pPr>
    <w:rPr>
      <w:sz w:val="18"/>
    </w:rPr>
  </w:style>
  <w:style w:type="character" w:styleId="838">
    <w:name w:val="Footnote Text Char"/>
    <w:link w:val="837"/>
    <w:uiPriority w:val="99"/>
    <w:rPr>
      <w:sz w:val="18"/>
    </w:rPr>
  </w:style>
  <w:style w:type="character" w:styleId="839">
    <w:name w:val="footnote reference"/>
    <w:basedOn w:val="856"/>
    <w:uiPriority w:val="99"/>
    <w:unhideWhenUsed/>
    <w:rPr>
      <w:vertAlign w:val="superscript"/>
    </w:rPr>
  </w:style>
  <w:style w:type="paragraph" w:styleId="840">
    <w:name w:val="endnote text"/>
    <w:basedOn w:val="854"/>
    <w:link w:val="841"/>
    <w:uiPriority w:val="99"/>
    <w:semiHidden/>
    <w:unhideWhenUsed/>
    <w:pPr>
      <w:spacing w:after="0" w:line="240" w:lineRule="auto"/>
    </w:pPr>
    <w:rPr>
      <w:sz w:val="20"/>
    </w:rPr>
  </w:style>
  <w:style w:type="character" w:styleId="841">
    <w:name w:val="Endnote Text Char"/>
    <w:link w:val="840"/>
    <w:uiPriority w:val="99"/>
    <w:rPr>
      <w:sz w:val="20"/>
    </w:rPr>
  </w:style>
  <w:style w:type="character" w:styleId="842">
    <w:name w:val="endnote reference"/>
    <w:basedOn w:val="856"/>
    <w:uiPriority w:val="99"/>
    <w:semiHidden/>
    <w:unhideWhenUsed/>
    <w:rPr>
      <w:vertAlign w:val="superscript"/>
    </w:rPr>
  </w:style>
  <w:style w:type="paragraph" w:styleId="843">
    <w:name w:val="toc 1"/>
    <w:basedOn w:val="854"/>
    <w:next w:val="854"/>
    <w:uiPriority w:val="39"/>
    <w:unhideWhenUsed/>
    <w:pPr>
      <w:ind w:left="0" w:right="0" w:firstLine="0"/>
      <w:spacing w:after="57"/>
    </w:pPr>
  </w:style>
  <w:style w:type="paragraph" w:styleId="844">
    <w:name w:val="toc 2"/>
    <w:basedOn w:val="854"/>
    <w:next w:val="854"/>
    <w:uiPriority w:val="39"/>
    <w:unhideWhenUsed/>
    <w:pPr>
      <w:ind w:left="283" w:right="0" w:firstLine="0"/>
      <w:spacing w:after="57"/>
    </w:pPr>
  </w:style>
  <w:style w:type="paragraph" w:styleId="845">
    <w:name w:val="toc 3"/>
    <w:basedOn w:val="854"/>
    <w:next w:val="854"/>
    <w:uiPriority w:val="39"/>
    <w:unhideWhenUsed/>
    <w:pPr>
      <w:ind w:left="567" w:right="0" w:firstLine="0"/>
      <w:spacing w:after="57"/>
    </w:pPr>
  </w:style>
  <w:style w:type="paragraph" w:styleId="846">
    <w:name w:val="toc 4"/>
    <w:basedOn w:val="854"/>
    <w:next w:val="854"/>
    <w:uiPriority w:val="39"/>
    <w:unhideWhenUsed/>
    <w:pPr>
      <w:ind w:left="850" w:right="0" w:firstLine="0"/>
      <w:spacing w:after="57"/>
    </w:pPr>
  </w:style>
  <w:style w:type="paragraph" w:styleId="847">
    <w:name w:val="toc 5"/>
    <w:basedOn w:val="854"/>
    <w:next w:val="854"/>
    <w:uiPriority w:val="39"/>
    <w:unhideWhenUsed/>
    <w:pPr>
      <w:ind w:left="1134" w:right="0" w:firstLine="0"/>
      <w:spacing w:after="57"/>
    </w:pPr>
  </w:style>
  <w:style w:type="paragraph" w:styleId="848">
    <w:name w:val="toc 6"/>
    <w:basedOn w:val="854"/>
    <w:next w:val="854"/>
    <w:uiPriority w:val="39"/>
    <w:unhideWhenUsed/>
    <w:pPr>
      <w:ind w:left="1417" w:right="0" w:firstLine="0"/>
      <w:spacing w:after="57"/>
    </w:pPr>
  </w:style>
  <w:style w:type="paragraph" w:styleId="849">
    <w:name w:val="toc 7"/>
    <w:basedOn w:val="854"/>
    <w:next w:val="854"/>
    <w:uiPriority w:val="39"/>
    <w:unhideWhenUsed/>
    <w:pPr>
      <w:ind w:left="1701" w:right="0" w:firstLine="0"/>
      <w:spacing w:after="57"/>
    </w:pPr>
  </w:style>
  <w:style w:type="paragraph" w:styleId="850">
    <w:name w:val="toc 8"/>
    <w:basedOn w:val="854"/>
    <w:next w:val="854"/>
    <w:uiPriority w:val="39"/>
    <w:unhideWhenUsed/>
    <w:pPr>
      <w:ind w:left="1984" w:right="0" w:firstLine="0"/>
      <w:spacing w:after="57"/>
    </w:pPr>
  </w:style>
  <w:style w:type="paragraph" w:styleId="851">
    <w:name w:val="toc 9"/>
    <w:basedOn w:val="854"/>
    <w:next w:val="854"/>
    <w:uiPriority w:val="39"/>
    <w:unhideWhenUsed/>
    <w:pPr>
      <w:ind w:left="2268" w:right="0" w:firstLine="0"/>
      <w:spacing w:after="57"/>
    </w:pPr>
  </w:style>
  <w:style w:type="paragraph" w:styleId="852">
    <w:name w:val="TOC Heading"/>
    <w:uiPriority w:val="39"/>
    <w:unhideWhenUsed/>
  </w:style>
  <w:style w:type="paragraph" w:styleId="853">
    <w:name w:val="table of figures"/>
    <w:basedOn w:val="854"/>
    <w:next w:val="854"/>
    <w:uiPriority w:val="99"/>
    <w:unhideWhenUsed/>
    <w:pPr>
      <w:spacing w:after="0" w:afterAutospacing="0"/>
    </w:pPr>
  </w:style>
  <w:style w:type="paragraph" w:styleId="854" w:default="1">
    <w:name w:val="Normal"/>
    <w:qFormat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n-US"/>
    </w:rPr>
  </w:style>
  <w:style w:type="paragraph" w:styleId="855">
    <w:name w:val="Heading 1"/>
    <w:basedOn w:val="854"/>
    <w:next w:val="854"/>
    <w:link w:val="859"/>
    <w:qFormat/>
    <w:pPr>
      <w:jc w:val="center"/>
      <w:keepNext/>
      <w:outlineLvl w:val="0"/>
    </w:pPr>
    <w:rPr>
      <w:b/>
      <w:sz w:val="22"/>
      <w:szCs w:val="20"/>
    </w:rPr>
  </w:style>
  <w:style w:type="character" w:styleId="856" w:default="1">
    <w:name w:val="Default Paragraph Font"/>
    <w:uiPriority w:val="1"/>
    <w:semiHidden/>
    <w:unhideWhenUsed/>
  </w:style>
  <w:style w:type="table" w:styleId="85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58" w:default="1">
    <w:name w:val="No List"/>
    <w:uiPriority w:val="99"/>
    <w:semiHidden/>
    <w:unhideWhenUsed/>
  </w:style>
  <w:style w:type="character" w:styleId="859" w:customStyle="1">
    <w:name w:val="Заголовок 1 Знак"/>
    <w:basedOn w:val="856"/>
    <w:link w:val="855"/>
    <w:rPr>
      <w:rFonts w:ascii="Times New Roman" w:hAnsi="Times New Roman" w:eastAsia="Times New Roman" w:cs="Times New Roman"/>
      <w:b/>
      <w:szCs w:val="20"/>
    </w:rPr>
  </w:style>
  <w:style w:type="paragraph" w:styleId="860">
    <w:name w:val="Header"/>
    <w:basedOn w:val="854"/>
    <w:link w:val="861"/>
    <w:pPr>
      <w:tabs>
        <w:tab w:val="center" w:pos="4677" w:leader="none"/>
        <w:tab w:val="right" w:pos="9355" w:leader="none"/>
      </w:tabs>
    </w:pPr>
  </w:style>
  <w:style w:type="character" w:styleId="861" w:customStyle="1">
    <w:name w:val="Верхний колонтитул Знак"/>
    <w:basedOn w:val="856"/>
    <w:link w:val="860"/>
    <w:rPr>
      <w:rFonts w:ascii="Times New Roman" w:hAnsi="Times New Roman" w:eastAsia="Times New Roman" w:cs="Times New Roman"/>
      <w:sz w:val="24"/>
      <w:szCs w:val="24"/>
      <w:lang w:val="en-US"/>
    </w:rPr>
  </w:style>
  <w:style w:type="character" w:styleId="862">
    <w:name w:val="page number"/>
    <w:basedOn w:val="856"/>
  </w:style>
  <w:style w:type="paragraph" w:styleId="863">
    <w:name w:val="Balloon Text"/>
    <w:basedOn w:val="854"/>
    <w:link w:val="864"/>
    <w:uiPriority w:val="99"/>
    <w:semiHidden/>
    <w:unhideWhenUsed/>
    <w:rPr>
      <w:rFonts w:ascii="Tahoma" w:hAnsi="Tahoma" w:cs="Tahoma"/>
      <w:sz w:val="16"/>
      <w:szCs w:val="16"/>
    </w:rPr>
  </w:style>
  <w:style w:type="character" w:styleId="864" w:customStyle="1">
    <w:name w:val="Текст выноски Знак"/>
    <w:basedOn w:val="856"/>
    <w:link w:val="863"/>
    <w:uiPriority w:val="99"/>
    <w:semiHidden/>
    <w:rPr>
      <w:rFonts w:ascii="Tahoma" w:hAnsi="Tahoma" w:eastAsia="Times New Roman" w:cs="Tahoma"/>
      <w:sz w:val="16"/>
      <w:szCs w:val="16"/>
      <w:lang w:val="en-US"/>
    </w:rPr>
  </w:style>
  <w:style w:type="character" w:styleId="865" w:customStyle="1">
    <w:name w:val="Основной текст_"/>
    <w:link w:val="866"/>
    <w:rPr>
      <w:sz w:val="17"/>
      <w:szCs w:val="17"/>
      <w:shd w:val="clear" w:color="auto" w:fill="ffffff"/>
    </w:rPr>
  </w:style>
  <w:style w:type="paragraph" w:styleId="866" w:customStyle="1">
    <w:name w:val="Основной текст1"/>
    <w:basedOn w:val="854"/>
    <w:link w:val="865"/>
    <w:pPr>
      <w:jc w:val="both"/>
      <w:spacing w:line="168" w:lineRule="exact"/>
      <w:shd w:val="clear" w:color="auto" w:fill="ffffff"/>
    </w:pPr>
    <w:rPr>
      <w:rFonts w:asciiTheme="minorHAnsi" w:hAnsiTheme="minorHAnsi" w:eastAsiaTheme="minorHAnsi" w:cstheme="minorBidi"/>
      <w:sz w:val="17"/>
      <w:szCs w:val="17"/>
      <w:lang w:val="ru-RU"/>
    </w:rPr>
  </w:style>
  <w:style w:type="paragraph" w:styleId="867" w:customStyle="1">
    <w:name w:val="ConsPlusTitle"/>
    <w:uiPriority w:val="99"/>
    <w:pPr>
      <w:spacing w:after="0" w:line="240" w:lineRule="auto"/>
      <w:widowControl w:val="off"/>
    </w:pPr>
    <w:rPr>
      <w:rFonts w:ascii="Calibri" w:hAnsi="Calibri" w:eastAsia="Times New Roman" w:cs="Calibri"/>
      <w:b/>
      <w:bCs/>
      <w:lang w:eastAsia="ru-RU"/>
    </w:rPr>
  </w:style>
  <w:style w:type="character" w:styleId="868">
    <w:name w:val="Hyperlink"/>
    <w:basedOn w:val="856"/>
    <w:uiPriority w:val="99"/>
    <w:semiHidden/>
    <w:unhideWhenUsed/>
    <w:rPr>
      <w:color w:val="0000ff"/>
      <w:u w:val="single"/>
    </w:rPr>
  </w:style>
  <w:style w:type="paragraph" w:styleId="869" w:customStyle="1">
    <w:name w:val="Основной текст2"/>
    <w:basedOn w:val="854"/>
    <w:pPr>
      <w:jc w:val="both"/>
      <w:spacing w:before="360" w:after="540" w:line="326" w:lineRule="exact"/>
      <w:shd w:val="clear" w:color="auto" w:fill="ffffff"/>
    </w:pPr>
    <w:rPr>
      <w:sz w:val="27"/>
      <w:szCs w:val="27"/>
      <w:lang w:val="ru-RU" w:eastAsia="ru-RU"/>
    </w:rPr>
  </w:style>
  <w:style w:type="character" w:styleId="870" w:customStyle="1">
    <w:name w:val="Основной текст + Интервал 2 pt"/>
    <w:rPr>
      <w:rFonts w:hint="default" w:ascii="Times New Roman" w:hAnsi="Times New Roman" w:eastAsia="Times New Roman" w:cs="Times New Roman"/>
      <w:b w:val="0"/>
      <w:bCs w:val="0"/>
      <w:i w:val="0"/>
      <w:iCs w:val="0"/>
      <w:smallCaps w:val="0"/>
      <w:strike w:val="0"/>
      <w:spacing w:val="50"/>
      <w:sz w:val="27"/>
      <w:szCs w:val="27"/>
      <w:u w:val="none"/>
      <w:shd w:val="clear" w:color="auto" w:fill="ffffff"/>
    </w:rPr>
  </w:style>
  <w:style w:type="paragraph" w:styleId="871">
    <w:name w:val="List Paragraph"/>
    <w:basedOn w:val="854"/>
    <w:uiPriority w:val="34"/>
    <w:qFormat/>
    <w:pPr>
      <w:contextualSpacing/>
      <w:ind w:left="720"/>
    </w:pPr>
  </w:style>
  <w:style w:type="paragraph" w:styleId="872" w:customStyle="1">
    <w:name w:val="Текст в заданном формате"/>
    <w:basedOn w:val="854"/>
    <w:pPr>
      <w:widowControl w:val="off"/>
    </w:pPr>
    <w:rPr>
      <w:rFonts w:eastAsia="NSimSun" w:cs="Courier New"/>
      <w:sz w:val="20"/>
      <w:szCs w:val="20"/>
      <w:lang w:val="ru-RU" w:eastAsia="hi-IN" w:bidi="hi-IN"/>
    </w:rPr>
  </w:style>
  <w:style w:type="paragraph" w:styleId="873" w:customStyle="1">
    <w:name w:val="Абзац списка"/>
    <w:next w:val="685"/>
    <w:uiPriority w:val="34"/>
    <w:qFormat/>
    <w:pPr>
      <w:contextualSpacing/>
      <w:ind w:left="72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4"/>
      <w:szCs w:val="24"/>
      <w:highlight w:val="none"/>
      <w:u w:val="none"/>
      <w:vertAlign w:val="baseline"/>
      <w:rtl w:val="0"/>
      <w:cs w:val="0"/>
      <w:lang w:val="ru-RU" w:eastAsia="ru-RU" w:bidi="ar-SA"/>
      <w14:ligatures w14:val="non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customXml" Target="../customXml/item1.xml" /><Relationship Id="rId12" Type="http://schemas.openxmlformats.org/officeDocument/2006/relationships/image" Target="media/image1.jpg"/><Relationship Id="rId13" Type="http://schemas.openxmlformats.org/officeDocument/2006/relationships/hyperlink" Target="consultantplus://offline/ref=5BAABBF23B4E2CF660C2D2A3FE3A3DEEA21963584F9237B6823547F2BB8FB9CF522A3969DE28A865C7253B64E323DDE688E21E596C06C8F5S760C" TargetMode="External"/><Relationship Id="rId14" Type="http://schemas.openxmlformats.org/officeDocument/2006/relationships/hyperlink" Target="consultantplus://offline/ref=EF35E14BDD458F447C553205E576C17A1320FE9AB0F7D5C18356D4DBBDC35CBD76990E7824A09AF2E85BBB7645B73A0FAE22C6D" TargetMode="External"/><Relationship Id="rId15" Type="http://schemas.openxmlformats.org/officeDocument/2006/relationships/hyperlink" Target="consultantplus://offline/ref=44906469343258BF79336D5FC45D67318EC1564F8FD57981622899BDDDD9CFC2A19A3E1380E9C19090F4D132172FDE7969DFC28795039ED2P6G9G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E6895F-B241-4B97-AEF7-5A07CFC42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Мотора</dc:creator>
  <cp:revision>12</cp:revision>
  <dcterms:created xsi:type="dcterms:W3CDTF">2021-09-28T04:16:00Z</dcterms:created>
  <dcterms:modified xsi:type="dcterms:W3CDTF">2023-10-03T03:22:35Z</dcterms:modified>
</cp:coreProperties>
</file>