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493"/>
        <w:gridCol w:w="4252"/>
      </w:tblGrid>
      <w:tr>
        <w:trPr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45" w:type="dxa"/>
            <w:vAlign w:val="top"/>
            <w:textDirection w:val="lrTb"/>
            <w:noWrap w:val="false"/>
          </w:tcPr>
          <w:p>
            <w:pPr>
              <w:pStyle w:val="61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12"/>
            </w:pPr>
            <w:r/>
            <w:r/>
          </w:p>
          <w:p>
            <w:pPr>
              <w:pStyle w:val="64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12"/>
              <w:jc w:val="center"/>
            </w:pPr>
            <w:r/>
            <w:r/>
          </w:p>
          <w:p>
            <w:pPr>
              <w:pStyle w:val="612"/>
            </w:pPr>
            <w:r/>
            <w:r/>
          </w:p>
          <w:p>
            <w:pPr>
              <w:pStyle w:val="612"/>
            </w:pPr>
            <w:r/>
            <w:r/>
          </w:p>
          <w:p>
            <w:pPr>
              <w:pStyle w:val="612"/>
              <w:ind w:left="-113"/>
            </w:pPr>
            <w:r>
              <w:t xml:space="preserve"> 08 ноября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</w:t>
            </w:r>
            <w:r>
              <w:t xml:space="preserve"> №1478</w:t>
            </w:r>
            <w:r/>
          </w:p>
          <w:p>
            <w:pPr>
              <w:pStyle w:val="61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93" w:type="dxa"/>
            <w:vAlign w:val="top"/>
            <w:textDirection w:val="lrTb"/>
            <w:noWrap w:val="false"/>
          </w:tcPr>
          <w:p>
            <w:pPr>
              <w:pStyle w:val="612"/>
              <w:ind w:right="742"/>
              <w:jc w:val="both"/>
            </w:pPr>
            <w: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t xml:space="preserve">земельного</w:t>
            </w:r>
            <w:r>
              <w:t xml:space="preserve"> контроля на 202</w:t>
            </w:r>
            <w:r>
              <w:t xml:space="preserve">4</w:t>
            </w:r>
            <w:r>
              <w:t xml:space="preserve"> год</w:t>
            </w:r>
            <w:r/>
          </w:p>
          <w:p>
            <w:pPr>
              <w:pStyle w:val="612"/>
              <w:ind w:right="5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612"/>
              <w:ind w:right="565"/>
              <w:jc w:val="both"/>
            </w:pPr>
            <w:r/>
            <w:r/>
          </w:p>
        </w:tc>
      </w:tr>
    </w:tbl>
    <w:p>
      <w:pPr>
        <w:pStyle w:val="612"/>
        <w:ind w:right="453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12"/>
        <w:ind w:right="453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1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"garantF1://12064247.8201"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sz w:val="28"/>
          <w:szCs w:val="28"/>
        </w:rPr>
        <w:t xml:space="preserve"> статьей 44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</w:t>
      </w:r>
      <w:r>
        <w:rPr>
          <w:sz w:val="28"/>
          <w:szCs w:val="28"/>
        </w:rPr>
        <w:t xml:space="preserve">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38 Устава города Сосновоборска Красноярского края,</w:t>
      </w:r>
      <w:r>
        <w:rPr>
          <w:sz w:val="28"/>
          <w:szCs w:val="28"/>
        </w:rPr>
      </w:r>
      <w:r/>
    </w:p>
    <w:p>
      <w:pPr>
        <w:pStyle w:val="6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ind w:firstLine="567"/>
        <w:jc w:val="both"/>
        <w:rPr>
          <w:sz w:val="28"/>
          <w:szCs w:val="28"/>
        </w:rPr>
      </w:pPr>
      <w:r/>
      <w:bookmarkStart w:id="0" w:name="sub_1"/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 согласно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\l "sub_1000"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sz w:val="28"/>
          <w:szCs w:val="28"/>
        </w:rPr>
        <w:t xml:space="preserve">приложению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</w:t>
      </w:r>
      <w:r/>
    </w:p>
    <w:p>
      <w:pPr>
        <w:pStyle w:val="612"/>
        <w:ind w:firstLine="567"/>
        <w:jc w:val="both"/>
        <w:widowControl w:val="off"/>
        <w:rPr>
          <w:rFonts w:cs="Tahoma"/>
          <w:color w:val="000000"/>
          <w:sz w:val="28"/>
          <w:szCs w:val="28"/>
          <w:lang w:eastAsia="en-US"/>
        </w:rPr>
      </w:pPr>
      <w:r/>
      <w:bookmarkEnd w:id="0"/>
      <w:r>
        <w:rPr>
          <w:rFonts w:cs="Tahoma"/>
          <w:color w:val="000000"/>
          <w:sz w:val="28"/>
          <w:szCs w:val="28"/>
          <w:lang w:eastAsia="en-US"/>
        </w:rPr>
        <w:t xml:space="preserve">2. Управлению делами и кадрами администрации города (Качаева Е.Ю.) обеспечить размещение настоящего постановления на официальном сайте администрации города Сосновоборска.</w:t>
      </w:r>
      <w:bookmarkStart w:id="1" w:name="sub_2"/>
      <w:r>
        <w:rPr>
          <w:rFonts w:cs="Tahoma"/>
          <w:color w:val="000000"/>
          <w:sz w:val="28"/>
          <w:szCs w:val="28"/>
          <w:lang w:eastAsia="en-US"/>
        </w:rPr>
      </w:r>
      <w:r/>
    </w:p>
    <w:p>
      <w:pPr>
        <w:pStyle w:val="63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1 января 2024 года.</w:t>
      </w:r>
      <w:r>
        <w:rPr>
          <w:sz w:val="28"/>
          <w:szCs w:val="28"/>
        </w:rPr>
      </w:r>
      <w:r/>
    </w:p>
    <w:p>
      <w:pPr>
        <w:pStyle w:val="612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bookmarkEnd w:id="1"/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Иванов).</w:t>
      </w:r>
      <w:r>
        <w:rPr>
          <w:sz w:val="28"/>
          <w:szCs w:val="28"/>
        </w:rPr>
      </w:r>
      <w:r/>
    </w:p>
    <w:p>
      <w:pPr>
        <w:pStyle w:val="612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612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Приложение </w:t>
      </w:r>
      <w:r/>
    </w:p>
    <w:p>
      <w:pPr>
        <w:pStyle w:val="61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постановлению администрации </w:t>
      </w:r>
      <w:r/>
    </w:p>
    <w:p>
      <w:pPr>
        <w:pStyle w:val="61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города Сосновоборска </w:t>
      </w:r>
      <w:r/>
    </w:p>
    <w:p>
      <w:pPr>
        <w:pStyle w:val="61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</w:t>
      </w:r>
      <w:r>
        <w:rPr>
          <w:color w:val="000000"/>
          <w:sz w:val="27"/>
          <w:szCs w:val="27"/>
        </w:rPr>
        <w:t xml:space="preserve"> 08 ноября  </w:t>
      </w:r>
      <w:r>
        <w:t xml:space="preserve">202</w:t>
      </w:r>
      <w:r>
        <w:t xml:space="preserve">3</w:t>
      </w:r>
      <w:r>
        <w:rPr>
          <w:color w:val="000000"/>
          <w:sz w:val="27"/>
          <w:szCs w:val="27"/>
        </w:rPr>
        <w:t xml:space="preserve">  №</w:t>
      </w:r>
      <w:r>
        <w:t xml:space="preserve">1478</w:t>
      </w:r>
      <w:r/>
    </w:p>
    <w:p>
      <w:pPr>
        <w:pStyle w:val="61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профилактики рисков </w:t>
      </w:r>
      <w:r/>
    </w:p>
    <w:p>
      <w:pPr>
        <w:pStyle w:val="6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причинения вреда (ущерба) охраняемым законом ценностям </w:t>
      </w:r>
      <w:r/>
    </w:p>
    <w:p>
      <w:pPr>
        <w:pStyle w:val="6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осуществлении муниципального земельного контроля</w:t>
      </w:r>
      <w:r/>
    </w:p>
    <w:p>
      <w:pPr>
        <w:pStyle w:val="6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год</w:t>
      </w:r>
      <w:r/>
    </w:p>
    <w:p>
      <w:pPr>
        <w:pStyle w:val="61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12"/>
        <w:ind w:firstLine="567"/>
        <w:jc w:val="both"/>
        <w:widowControl w:val="o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 (далее - Программа) разработана в целях  стимулиро</w:t>
      </w:r>
      <w:r>
        <w:rPr>
          <w:rFonts w:eastAsia="Calibri"/>
          <w:sz w:val="28"/>
          <w:szCs w:val="28"/>
        </w:rPr>
        <w:t xml:space="preserve">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</w:t>
      </w:r>
      <w:r>
        <w:rPr>
          <w:rFonts w:eastAsia="Calibri"/>
          <w:sz w:val="28"/>
          <w:szCs w:val="28"/>
          <w:lang w:eastAsia="en-US"/>
        </w:rPr>
        <w:t xml:space="preserve"> земель, земельных участков, частей земельных участков расположенных на территории города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Сосновоборска</w:t>
      </w:r>
      <w:r>
        <w:rPr>
          <w:rFonts w:eastAsia="Calibri"/>
          <w:sz w:val="28"/>
          <w:szCs w:val="28"/>
        </w:rPr>
        <w:t xml:space="preserve">, а также создание условий для доведения обязательных требований до контролируемых лиц, повышение информированности о способах их соблюдения. </w:t>
      </w:r>
      <w:r/>
    </w:p>
    <w:p>
      <w:pPr>
        <w:pStyle w:val="612"/>
        <w:contextualSpacing/>
        <w:ind w:firstLine="567"/>
        <w:jc w:val="both"/>
        <w:rPr>
          <w:rFonts w:eastAsia="Calibri"/>
          <w:sz w:val="28"/>
          <w:szCs w:val="28"/>
          <w:lang w:eastAsia="en-US"/>
        </w:rPr>
      </w:pPr>
      <w:r/>
      <w:bookmarkStart w:id="2" w:name="sub_1002"/>
      <w:r>
        <w:rPr>
          <w:rFonts w:eastAsia="Calibri"/>
          <w:sz w:val="28"/>
          <w:szCs w:val="28"/>
          <w:lang w:eastAsia="en-US"/>
        </w:rPr>
        <w:t xml:space="preserve">Программа разработана в соответствии с:</w:t>
      </w:r>
      <w:bookmarkEnd w:id="2"/>
      <w:r>
        <w:rPr>
          <w:rFonts w:eastAsia="Calibri"/>
          <w:sz w:val="28"/>
          <w:szCs w:val="28"/>
          <w:lang w:eastAsia="en-US"/>
        </w:rPr>
      </w:r>
      <w:r/>
    </w:p>
    <w:p>
      <w:pPr>
        <w:pStyle w:val="612"/>
        <w:contextualSpacing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(далее- Ф</w:t>
      </w:r>
      <w:r>
        <w:rPr>
          <w:rFonts w:eastAsia="Calibri"/>
          <w:sz w:val="28"/>
          <w:szCs w:val="28"/>
          <w:lang w:eastAsia="en-US"/>
        </w:rPr>
        <w:t xml:space="preserve">едеральный закон №248-ФЗ);   </w:t>
      </w:r>
      <w:r/>
    </w:p>
    <w:p>
      <w:pPr>
        <w:pStyle w:val="612"/>
        <w:contextualSpacing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Федеральным законом от 31.07.2020 №247-ФЗ "Об обязательных требованиях в Российской Федерации";</w:t>
      </w:r>
      <w:r/>
    </w:p>
    <w:p>
      <w:pPr>
        <w:pStyle w:val="612"/>
        <w:contextualSpacing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постановле</w:t>
      </w:r>
      <w:r>
        <w:rPr>
          <w:rFonts w:eastAsia="Calibri"/>
          <w:sz w:val="28"/>
          <w:szCs w:val="28"/>
          <w:lang w:eastAsia="en-US"/>
        </w:rPr>
        <w:t xml:space="preserve">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Правила).</w:t>
      </w:r>
      <w:r/>
    </w:p>
    <w:p>
      <w:pPr>
        <w:pStyle w:val="612"/>
        <w:contextualSpacing/>
        <w:ind w:firstLine="567"/>
        <w:jc w:val="both"/>
        <w:rPr>
          <w:rFonts w:eastAsia="Calibri"/>
          <w:sz w:val="28"/>
          <w:szCs w:val="28"/>
          <w:lang w:eastAsia="en-US"/>
        </w:rPr>
      </w:pPr>
      <w:r/>
      <w:bookmarkStart w:id="3" w:name="sub_1004"/>
      <w:r>
        <w:rPr>
          <w:rFonts w:eastAsia="Calibri"/>
          <w:sz w:val="28"/>
          <w:szCs w:val="28"/>
          <w:lang w:eastAsia="en-US"/>
        </w:rPr>
        <w:t xml:space="preserve">Срок реализации Программы - 202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 год</w:t>
      </w:r>
      <w:bookmarkEnd w:id="3"/>
      <w:r>
        <w:rPr>
          <w:rFonts w:eastAsia="Calibri"/>
          <w:sz w:val="28"/>
          <w:szCs w:val="28"/>
          <w:lang w:eastAsia="en-US"/>
        </w:rPr>
        <w:t xml:space="preserve">.</w:t>
      </w:r>
      <w:r/>
    </w:p>
    <w:p>
      <w:pPr>
        <w:pStyle w:val="612"/>
        <w:contextualSpacing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12"/>
        <w:ind w:firstLine="567"/>
        <w:jc w:val="center"/>
        <w:keepNext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1. Анализ текущего состояния осуществления муниципального земельного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  <w:r/>
    </w:p>
    <w:p>
      <w:pPr>
        <w:pStyle w:val="612"/>
        <w:ind w:firstLine="567"/>
        <w:jc w:val="center"/>
        <w:keepNext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12"/>
        <w:contextualSpacing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Предметом муниципального земельного контроля является</w:t>
      </w:r>
      <w:r>
        <w:rPr>
          <w:rFonts w:eastAsia="Calibri"/>
          <w:sz w:val="28"/>
          <w:szCs w:val="28"/>
          <w:lang w:eastAsia="en-US"/>
        </w:rPr>
        <w:t xml:space="preserve"> соблюдение юридическими лицами, индивидуальными предпринимателями и гражданами в отношении земель, земельных участков, частей земельных участков расположенных на территории города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Сосновоборска</w:t>
      </w:r>
      <w:r>
        <w:rPr>
          <w:rFonts w:eastAsia="Calibri"/>
          <w:sz w:val="28"/>
          <w:szCs w:val="28"/>
          <w:lang w:eastAsia="en-US"/>
        </w:rPr>
        <w:t xml:space="preserve">, требований, установ</w:t>
      </w:r>
      <w:r>
        <w:rPr>
          <w:rFonts w:eastAsia="Calibri"/>
          <w:sz w:val="28"/>
          <w:szCs w:val="28"/>
          <w:lang w:eastAsia="en-US"/>
        </w:rPr>
        <w:t xml:space="preserve">ленных в соответствии с Земельным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Красноярского края.</w:t>
      </w:r>
      <w:r/>
    </w:p>
    <w:p>
      <w:pPr>
        <w:pStyle w:val="612"/>
        <w:contextualSpacing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Обязательные требования, установленные муниципальными правовыми актами в сфере осуществления муниципального земельного контроля, регламентированы следующими правовыми актами:</w:t>
      </w:r>
      <w:r/>
    </w:p>
    <w:p>
      <w:pPr>
        <w:pStyle w:val="612"/>
        <w:contextualSpacing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Федеральным </w:t>
      </w:r>
      <w:r>
        <w:rPr>
          <w:rFonts w:eastAsia="Calibri"/>
          <w:sz w:val="28"/>
          <w:szCs w:val="28"/>
          <w:lang w:eastAsia="en-US"/>
        </w:rPr>
        <w:fldChar w:fldCharType="begin"/>
      </w:r>
      <w:r>
        <w:rPr>
          <w:rFonts w:eastAsia="Calibri"/>
          <w:sz w:val="28"/>
          <w:szCs w:val="28"/>
          <w:lang w:eastAsia="en-US"/>
        </w:rPr>
        <w:instrText xml:space="preserve"> HYPERLINK "consultantplus://offline/ref=1D4E32A31A176726FF77A9EFC32AC1AADF1A11E10915B9C2EAEB08B6420BA89D40859BD429157DACE57252E5F3UAyEH" </w:instrText>
      </w:r>
      <w:r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t xml:space="preserve">законом</w:t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от 31.07.2020 № 248-ФЗ «О государственном контроле (надзоре) и муниципальном контроле в Российской Федерации», </w:t>
      </w:r>
      <w:r/>
    </w:p>
    <w:p>
      <w:pPr>
        <w:pStyle w:val="612"/>
        <w:contextualSpacing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 Земельным кодексом Российской Федерации</w:t>
      </w:r>
      <w:r/>
    </w:p>
    <w:p>
      <w:pPr>
        <w:pStyle w:val="612"/>
        <w:contextualSpacing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 Объектами муниципального земельного контроля являются:</w:t>
      </w:r>
      <w:r/>
    </w:p>
    <w:p>
      <w:pPr>
        <w:pStyle w:val="612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деятельность, действия (бездействие) контролируемых </w:t>
      </w:r>
      <w:r>
        <w:rPr>
          <w:rFonts w:eastAsia="Calibri"/>
          <w:sz w:val="28"/>
          <w:szCs w:val="28"/>
          <w:lang w:eastAsia="en-US"/>
        </w:rPr>
        <w:t xml:space="preserve">лиц</w:t>
        <w:br/>
        <w:t xml:space="preserve">на объектах земельных отношений (земли, земельные участки, части земельных участков)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  <w:r/>
    </w:p>
    <w:p>
      <w:pPr>
        <w:pStyle w:val="612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результаты деятельности контролируемых лиц на объектах земельных отношений (земли, земельные участки, части земельных участков), в том числе работы и услуги, к которым предъявляются обязательные требования;</w:t>
      </w:r>
      <w:r/>
    </w:p>
    <w:p>
      <w:pPr>
        <w:pStyle w:val="612"/>
        <w:contextualSpacing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объекты земельных отношений (земли, земельные участки, части земельных участков), которыми контролируемые лица владеют и (или) пользуются и к которым предъявляются обязательные требования.</w:t>
      </w:r>
      <w:r/>
    </w:p>
    <w:p>
      <w:pPr>
        <w:pStyle w:val="612"/>
        <w:contextualSpacing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В качес</w:t>
      </w:r>
      <w:r>
        <w:rPr>
          <w:rFonts w:eastAsia="Calibri"/>
          <w:sz w:val="28"/>
          <w:szCs w:val="28"/>
          <w:lang w:eastAsia="en-US"/>
        </w:rPr>
        <w:t xml:space="preserve">тве контролируемых лиц при осуществлении муниципального земельного контроля выступают граждане, в том числе осуществляющие предпринимательскую деятельность, являющиеся индивидуальными предпринимателями, а также организации, являющиеся юридическими лицами. </w:t>
      </w:r>
      <w:r/>
    </w:p>
    <w:p>
      <w:pPr>
        <w:pStyle w:val="633"/>
        <w:ind w:firstLine="709"/>
        <w:jc w:val="both"/>
        <w:rPr>
          <w:sz w:val="28"/>
          <w:szCs w:val="28"/>
        </w:rPr>
      </w:pPr>
      <w:r/>
      <w:bookmarkStart w:id="4" w:name="_Hlk114751228"/>
      <w:r>
        <w:rPr>
          <w:rFonts w:eastAsia="Calibri"/>
          <w:sz w:val="28"/>
          <w:szCs w:val="28"/>
          <w:lang w:eastAsia="en-US"/>
        </w:rPr>
        <w:t xml:space="preserve">1.5. </w:t>
      </w:r>
      <w:bookmarkStart w:id="5" w:name="_Hlk114751114"/>
      <w:r>
        <w:rPr>
          <w:sz w:val="28"/>
          <w:szCs w:val="28"/>
        </w:rPr>
        <w:t xml:space="preserve">Муниципальный земельный контроль осуществляется на основании Положения о муниципальном земельном контроле, утвержденного решением Сосновоборского городского совета депутатов от 13.12.2021 №15/58-р</w:t>
      </w:r>
      <w:r>
        <w:rPr>
          <w:sz w:val="28"/>
          <w:szCs w:val="28"/>
        </w:rPr>
        <w:t xml:space="preserve"> (в редакции решения от 02.10.2023 № 32/142-р)</w:t>
      </w:r>
      <w:r>
        <w:rPr>
          <w:sz w:val="28"/>
          <w:szCs w:val="28"/>
        </w:rPr>
        <w:t xml:space="preserve">, осуществляется посредством профилактики соблюдения обязательных требований.</w:t>
      </w:r>
      <w:r/>
    </w:p>
    <w:p>
      <w:pPr>
        <w:pStyle w:val="6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принято постановление Правительства от 10.03.2022 № 336 «Об особенностях организации и осуществления государственного контроля (надзора), муниципального контроля», в соответствии с которым проведение контрольных (надз</w:t>
      </w:r>
      <w:r>
        <w:rPr>
          <w:sz w:val="28"/>
          <w:szCs w:val="28"/>
        </w:rPr>
        <w:t xml:space="preserve">орных) мероприятий с согласования органами прокуратуры допускается только при наличии сведений о непосредственной угрозе причинения вреда жизни и тяжкого вреда здоровью граждан, возникновении чрезвычайных ситуаций природного и (или) техногенного характера.</w:t>
      </w:r>
      <w:r/>
    </w:p>
    <w:p>
      <w:pPr>
        <w:pStyle w:val="6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по </w:t>
      </w:r>
      <w:r>
        <w:rPr>
          <w:sz w:val="28"/>
          <w:szCs w:val="28"/>
        </w:rPr>
        <w:t xml:space="preserve">сентябрь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органом по муниципальному земельному контролю проведено 2 (два) внеплановых контрольных мероприятия в виде выездного обследования, в результате </w:t>
      </w:r>
      <w:r>
        <w:rPr>
          <w:sz w:val="28"/>
          <w:szCs w:val="28"/>
        </w:rPr>
        <w:t xml:space="preserve">объявлены предостережения о недопустимости нарушения обязательных требований земельного законодательства.</w:t>
      </w:r>
      <w:r/>
    </w:p>
    <w:p>
      <w:pPr>
        <w:pStyle w:val="6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Контрольным органом внеплановые проверки </w:t>
      </w:r>
      <w:r>
        <w:rPr>
          <w:sz w:val="28"/>
          <w:szCs w:val="28"/>
        </w:rPr>
        <w:t xml:space="preserve">с взаимодействием с контролируемым лицом </w:t>
      </w:r>
      <w:r>
        <w:rPr>
          <w:sz w:val="28"/>
          <w:szCs w:val="28"/>
        </w:rPr>
        <w:t xml:space="preserve">по муниципальному земельному контролю не проводились, так как жалобы на нарушения земельного законодательства не поступали, плановые проверки не предусмотрены Положением.</w:t>
      </w:r>
      <w:r/>
    </w:p>
    <w:p>
      <w:pPr>
        <w:pStyle w:val="6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разъяснительная работа в средствах массовой информации по информированию юридических лиц, индивидуальных предпринимателей и граждан по вопросам соблюдения обязательных требований.</w:t>
      </w:r>
      <w:r/>
    </w:p>
    <w:p>
      <w:pPr>
        <w:pStyle w:val="6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мероприятия утвержденные постановлением администрации города Сосновоборска от </w:t>
      </w:r>
      <w:r>
        <w:rPr>
          <w:sz w:val="28"/>
          <w:szCs w:val="28"/>
        </w:rPr>
        <w:t xml:space="preserve">02.11.2023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1629</w:t>
      </w:r>
      <w:r>
        <w:rPr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год», направленные на предупреждение нарушений обязательных требований при проведении муниципального земельного контроля достигнуты в полном объеме.</w:t>
      </w:r>
      <w:r/>
    </w:p>
    <w:p>
      <w:pPr>
        <w:pStyle w:val="628"/>
        <w:ind w:left="0" w:firstLine="709"/>
        <w:jc w:val="both"/>
        <w:rPr>
          <w:sz w:val="28"/>
          <w:szCs w:val="28"/>
        </w:rPr>
      </w:pPr>
      <w:r/>
      <w:bookmarkEnd w:id="4"/>
      <w:r/>
      <w:bookmarkEnd w:id="5"/>
      <w:r>
        <w:rPr>
          <w:sz w:val="28"/>
          <w:szCs w:val="28"/>
        </w:rPr>
        <w:t xml:space="preserve">1.6. Основные проблемы, на решение которых направлена программа профилактики: формирование </w:t>
      </w:r>
      <w:r>
        <w:rPr>
          <w:sz w:val="28"/>
          <w:szCs w:val="28"/>
        </w:rPr>
        <w:t xml:space="preserve">модели социально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выдачи предостережения.</w:t>
      </w:r>
      <w:r/>
    </w:p>
    <w:p>
      <w:pPr>
        <w:pStyle w:val="612"/>
        <w:contextualSpacing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Проведение профилактических мероприятий должно способствовать улучшению в целом ситуации, снижению количества нарушений обязательных требований </w:t>
      </w:r>
      <w:r>
        <w:rPr>
          <w:rFonts w:eastAsia="Calibri"/>
          <w:sz w:val="28"/>
          <w:szCs w:val="28"/>
          <w:lang w:eastAsia="en-US"/>
        </w:rPr>
        <w:t xml:space="preserve">и предотвращение фактов вредного воздействия на объекты земельных отношений (земли, земельные участки, части земельных участков) при осуществлении хозяйственной и иной деятельности.</w:t>
      </w:r>
      <w:r/>
    </w:p>
    <w:p>
      <w:pPr>
        <w:pStyle w:val="612"/>
        <w:contextualSpacing/>
        <w:jc w:val="both"/>
        <w:rPr>
          <w:rFonts w:eastAsia="Calibri"/>
          <w:bCs/>
          <w:sz w:val="28"/>
          <w:szCs w:val="28"/>
          <w:lang w:eastAsia="en-US"/>
        </w:rPr>
        <w:outlineLvl w:val="2"/>
      </w:pPr>
      <w:r>
        <w:rPr>
          <w:rFonts w:eastAsia="Calibri"/>
          <w:bCs/>
          <w:sz w:val="28"/>
          <w:szCs w:val="28"/>
          <w:lang w:eastAsia="en-US"/>
        </w:rPr>
      </w:r>
      <w:r/>
    </w:p>
    <w:p>
      <w:pPr>
        <w:pStyle w:val="612"/>
        <w:ind w:firstLine="567"/>
        <w:jc w:val="center"/>
        <w:keepNext/>
        <w:rPr>
          <w:sz w:val="28"/>
          <w:szCs w:val="28"/>
        </w:rPr>
        <w:outlineLvl w:val="0"/>
      </w:pPr>
      <w:r/>
      <w:bookmarkStart w:id="6" w:name="sub_1200"/>
      <w:r>
        <w:rPr>
          <w:sz w:val="28"/>
          <w:szCs w:val="28"/>
        </w:rPr>
        <w:t xml:space="preserve">2. Цели и задачи реализации Программы</w:t>
      </w:r>
      <w:r/>
    </w:p>
    <w:p>
      <w:pPr>
        <w:pStyle w:val="612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12"/>
        <w:contextualSpacing/>
        <w:ind w:firstLine="567"/>
        <w:jc w:val="both"/>
        <w:widowControl w:val="off"/>
        <w:rPr>
          <w:rFonts w:eastAsia="Calibri"/>
          <w:sz w:val="28"/>
          <w:szCs w:val="28"/>
          <w:lang w:eastAsia="en-US"/>
        </w:rPr>
      </w:pPr>
      <w:r/>
      <w:bookmarkEnd w:id="6"/>
      <w:r/>
      <w:bookmarkStart w:id="7" w:name="sub_1005"/>
      <w:r>
        <w:rPr>
          <w:rFonts w:eastAsia="Calibri"/>
          <w:sz w:val="28"/>
          <w:szCs w:val="28"/>
          <w:lang w:eastAsia="en-US"/>
        </w:rPr>
        <w:t xml:space="preserve">2.1. Целями реализации Программы являются:</w:t>
      </w:r>
      <w:r/>
    </w:p>
    <w:p>
      <w:pPr>
        <w:pStyle w:val="612"/>
        <w:contextualSpacing/>
        <w:ind w:firstLine="567"/>
        <w:jc w:val="both"/>
        <w:widowControl w:val="off"/>
        <w:rPr>
          <w:rFonts w:eastAsia="Calibri"/>
          <w:sz w:val="28"/>
          <w:szCs w:val="28"/>
          <w:lang w:eastAsia="en-US"/>
        </w:rPr>
      </w:pPr>
      <w:r/>
      <w:bookmarkEnd w:id="7"/>
      <w:r>
        <w:rPr>
          <w:rFonts w:eastAsia="Calibri"/>
          <w:sz w:val="28"/>
          <w:szCs w:val="28"/>
          <w:lang w:eastAsia="en-US"/>
        </w:rPr>
        <w:t xml:space="preserve">1) стимулирование добросовестного соблюдения обязательных требований всеми контролируемыми лицами;</w:t>
      </w:r>
      <w:r/>
    </w:p>
    <w:p>
      <w:pPr>
        <w:pStyle w:val="612"/>
        <w:contextualSpacing/>
        <w:ind w:firstLine="567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земельных отношений (земли, земельные участки, части земельных участков);</w:t>
      </w:r>
      <w:r/>
    </w:p>
    <w:p>
      <w:pPr>
        <w:pStyle w:val="612"/>
        <w:contextualSpacing/>
        <w:ind w:firstLine="567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pStyle w:val="612"/>
        <w:contextualSpacing/>
        <w:ind w:firstLine="567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Задачами реализации Программы являются:</w:t>
      </w:r>
      <w:r/>
    </w:p>
    <w:p>
      <w:pPr>
        <w:pStyle w:val="612"/>
        <w:contextualSpacing/>
        <w:ind w:firstLine="567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  <w:r/>
    </w:p>
    <w:p>
      <w:pPr>
        <w:pStyle w:val="612"/>
        <w:contextualSpacing/>
        <w:ind w:firstLine="567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повышение правосознания и правовой культуры юридических лиц, индивидуальных предпринимателей и граждан;</w:t>
      </w:r>
      <w:r/>
    </w:p>
    <w:p>
      <w:pPr>
        <w:pStyle w:val="612"/>
        <w:contextualSpacing/>
        <w:ind w:firstLine="567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r/>
    </w:p>
    <w:p>
      <w:pPr>
        <w:pStyle w:val="612"/>
        <w:contextualSpacing/>
        <w:ind w:firstLine="567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12"/>
        <w:jc w:val="center"/>
        <w:widowControl w:val="off"/>
        <w:rPr>
          <w:rFonts w:eastAsia="Calibri"/>
          <w:sz w:val="28"/>
          <w:szCs w:val="28"/>
        </w:rPr>
        <w:outlineLvl w:val="1"/>
      </w:pPr>
      <w:r/>
      <w:bookmarkStart w:id="8" w:name="sub_1150"/>
      <w:r>
        <w:rPr>
          <w:rFonts w:eastAsia="Calibri"/>
          <w:bCs/>
          <w:color w:val="26282f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Перечень профилактических мероприятий, </w:t>
      </w:r>
      <w:r/>
    </w:p>
    <w:p>
      <w:pPr>
        <w:pStyle w:val="612"/>
        <w:jc w:val="center"/>
        <w:widowControl w:val="off"/>
        <w:rPr>
          <w:rFonts w:eastAsia="Calibri"/>
          <w:sz w:val="28"/>
          <w:szCs w:val="28"/>
        </w:rPr>
        <w:outlineLvl w:val="1"/>
      </w:pPr>
      <w:r>
        <w:rPr>
          <w:rFonts w:eastAsia="Calibri"/>
          <w:sz w:val="28"/>
          <w:szCs w:val="28"/>
        </w:rPr>
        <w:t xml:space="preserve">сроки (периодичность) их проведения</w:t>
      </w:r>
      <w:r/>
    </w:p>
    <w:p>
      <w:pPr>
        <w:pStyle w:val="612"/>
        <w:jc w:val="center"/>
        <w:widowControl w:val="off"/>
        <w:rPr>
          <w:rFonts w:eastAsia="Calibri"/>
        </w:rPr>
        <w:outlineLvl w:val="1"/>
      </w:pPr>
      <w:r>
        <w:rPr>
          <w:rFonts w:eastAsia="Calibri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466"/>
      </w:tblGrid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№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Наименование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профилактического мероприятия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Срок 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реализации</w:t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Ответственные должностные лица</w:t>
            </w:r>
            <w:r/>
          </w:p>
        </w:tc>
      </w:tr>
      <w:tr>
        <w:trPr>
          <w:trHeight w:val="1435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1.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города Сосновоборска: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</w:r>
            <w:r/>
          </w:p>
        </w:tc>
      </w:tr>
      <w:tr>
        <w:trPr>
          <w:trHeight w:val="1266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1.1.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текстов нормативных правовых актов, регулирующих осуществление муниципального земельного контроля;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 по мере необходимости</w:t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Инспектор муниципального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земельного контроля</w:t>
            </w:r>
            <w:r/>
          </w:p>
        </w:tc>
      </w:tr>
      <w:tr>
        <w:trPr>
          <w:trHeight w:val="1824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1.2.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по мере необходимости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Инспектор муниципального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земельного контроля 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</w:r>
            <w:r/>
          </w:p>
        </w:tc>
      </w:tr>
      <w:tr>
        <w:trPr>
          <w:trHeight w:val="2828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1.3.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/>
            </w:r>
            <w:r>
              <w:rPr>
                <w:rFonts w:eastAsia="Calibri"/>
                <w:lang w:eastAsia="en-US"/>
              </w:rPr>
              <w:instrText xml:space="preserve"> HYPERLINK "https://login.consultant.ru/link/?req=doc&amp;base=LAW&amp;n=213122&amp;date=20.09.2021" </w:instrText>
            </w:r>
            <w:r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</w:rPr>
              <w:t xml:space="preserve">перечня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нормативных правовых актов с указанием структурных единиц эт</w:t>
            </w:r>
            <w:r>
              <w:rPr>
                <w:rFonts w:eastAsia="Calibri"/>
              </w:rPr>
              <w:t xml:space="preserve">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по мере необходимости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Инспектор муниципального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земельного контроля 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</w:r>
            <w:r/>
          </w:p>
        </w:tc>
      </w:tr>
      <w:tr>
        <w:trPr>
          <w:trHeight w:val="1821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1.4.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HYPERLINK "https://login.consultant.ru/link/?req=doc&amp;base=LAW&amp;n=386984&amp;dst=100101&amp;field=134&amp;date=20.09.2021"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 xml:space="preserve">законом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"Об обязательных требованиях в Российской Федерации";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по мере необходимости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Инспектор муниципального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земельного контроля 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</w:r>
            <w:r/>
          </w:p>
        </w:tc>
      </w:tr>
      <w:tr>
        <w:trPr>
          <w:trHeight w:val="1141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1.5.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перечня индикаторов риска нарушения обязательных требований, порядок отнесения объектов контроля к категориям риска;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по мере необходимости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Инспектор муниципального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земельного контроля 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</w:r>
            <w:r/>
          </w:p>
        </w:tc>
      </w:tr>
      <w:tr>
        <w:trPr>
          <w:trHeight w:val="888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1.6.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программы профилактики рисков причинения вреда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В течение 5 дней с даты утверждения</w:t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Администрация города Сосновоборска</w:t>
            </w:r>
            <w:r/>
          </w:p>
        </w:tc>
      </w:tr>
      <w:tr>
        <w:trPr>
          <w:trHeight w:val="1255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1.7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исчерпывающего перечня сведений, которые могут запрашиваться контрольным органом у контролируемого лица;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по мере необходимости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Инспектор муниципального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земельного контроля </w:t>
            </w:r>
            <w:r/>
          </w:p>
        </w:tc>
      </w:tr>
      <w:tr>
        <w:trPr>
          <w:trHeight w:val="1273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1.8.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сведений о способах получения консультаций по вопросам соблюдения обязательных требований;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по мере необходимости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Инспектор муниципального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земельного контроля </w:t>
            </w:r>
            <w:r/>
          </w:p>
        </w:tc>
      </w:tr>
      <w:tr>
        <w:trPr>
          <w:trHeight w:val="1263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2.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доклада о муниципальном земельном контроле.</w:t>
            </w:r>
            <w:r/>
          </w:p>
          <w:p>
            <w:pPr>
              <w:pStyle w:val="612"/>
              <w:jc w:val="both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в течение 5 дней с даты утверждения</w:t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Инспектор муниципального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земельного контроля</w:t>
            </w:r>
            <w:r/>
          </w:p>
        </w:tc>
      </w:tr>
      <w:tr>
        <w:trPr>
          <w:trHeight w:val="1268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3. 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Объявление предостережения о недопустимости нарушения обязательных требований. 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в течение года 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(при наличии оснований)</w:t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Инспектор муниципального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земельного контроля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4.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в течение года </w:t>
            </w:r>
            <w:r/>
          </w:p>
        </w:tc>
        <w:tc>
          <w:tcPr>
            <w:tcW w:w="2466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Инспектор муниципального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  <w:t xml:space="preserve">земельного контроля </w:t>
            </w:r>
            <w:r/>
          </w:p>
          <w:p>
            <w:pPr>
              <w:pStyle w:val="612"/>
              <w:jc w:val="center"/>
              <w:widowControl w:val="off"/>
              <w:rPr>
                <w:rFonts w:eastAsia="Calibri"/>
              </w:rPr>
              <w:outlineLvl w:val="1"/>
            </w:pPr>
            <w:r>
              <w:rPr>
                <w:rFonts w:eastAsia="Calibri"/>
              </w:rPr>
            </w:r>
            <w:r/>
          </w:p>
        </w:tc>
      </w:tr>
    </w:tbl>
    <w:p>
      <w:pPr>
        <w:pStyle w:val="612"/>
        <w:jc w:val="center"/>
        <w:widowControl w:val="off"/>
        <w:rPr>
          <w:rFonts w:eastAsia="Calibri"/>
          <w:sz w:val="28"/>
          <w:szCs w:val="28"/>
        </w:rPr>
        <w:outlineLvl w:val="1"/>
      </w:pPr>
      <w:r>
        <w:rPr>
          <w:rFonts w:eastAsia="Calibri"/>
          <w:sz w:val="28"/>
          <w:szCs w:val="28"/>
        </w:rPr>
      </w:r>
      <w:r/>
    </w:p>
    <w:p>
      <w:pPr>
        <w:pStyle w:val="612"/>
        <w:jc w:val="center"/>
        <w:widowControl w:val="off"/>
        <w:rPr>
          <w:rFonts w:eastAsia="Calibri"/>
          <w:sz w:val="28"/>
          <w:szCs w:val="28"/>
        </w:rPr>
        <w:outlineLvl w:val="1"/>
      </w:pPr>
      <w:r>
        <w:rPr>
          <w:rFonts w:eastAsia="Calibri"/>
          <w:sz w:val="28"/>
          <w:szCs w:val="28"/>
        </w:rPr>
        <w:t xml:space="preserve">4. Показатели результативности и эффективности Программы</w:t>
      </w:r>
      <w:r/>
    </w:p>
    <w:p>
      <w:pPr>
        <w:pStyle w:val="612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9634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150"/>
        <w:gridCol w:w="2484"/>
      </w:tblGrid>
      <w:tr>
        <w:trPr>
          <w:trHeight w:val="10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0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</w:pPr>
            <w:r/>
            <w:r/>
          </w:p>
          <w:p>
            <w:pPr>
              <w:pStyle w:val="612"/>
              <w:jc w:val="center"/>
              <w:widowControl w:val="off"/>
            </w:pPr>
            <w: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84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</w:pPr>
            <w:r>
              <w:t xml:space="preserve">Исполнение</w:t>
            </w:r>
            <w:r/>
          </w:p>
          <w:p>
            <w:pPr>
              <w:pStyle w:val="612"/>
              <w:jc w:val="center"/>
              <w:widowControl w:val="off"/>
            </w:pPr>
            <w:r>
              <w:t xml:space="preserve">показателя</w:t>
            </w:r>
            <w:r/>
          </w:p>
          <w:p>
            <w:pPr>
              <w:pStyle w:val="612"/>
              <w:jc w:val="center"/>
              <w:widowControl w:val="off"/>
            </w:pPr>
            <w:r>
              <w:t xml:space="preserve">2023 год,</w:t>
            </w:r>
            <w:r/>
          </w:p>
          <w:p>
            <w:pPr>
              <w:pStyle w:val="612"/>
              <w:jc w:val="center"/>
              <w:widowControl w:val="off"/>
            </w:pPr>
            <w:r>
              <w:t xml:space="preserve">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0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widowControl w:val="off"/>
            </w:pPr>
            <w:r>
              <w:t xml:space="preserve">Полнота информации, размещенной на официальном сайте органов местного самоуправления города Сосновоборска в соответствии со статьей 46 Федерального закона №248-ФЗ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</w:pPr>
            <w:r>
              <w:t xml:space="preserve">100%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0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widowControl w:val="off"/>
            </w:pPr>
            <w:r>
              <w:t xml:space="preserve">Доля контролируемых лиц, удовлетворенных консультированием в общем количестве контролируемых лиц, обратившихся за консультацией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widowControl w:val="off"/>
            </w:pPr>
            <w:r>
              <w:t xml:space="preserve">100% от числа обратившихся</w:t>
            </w:r>
            <w:r/>
          </w:p>
        </w:tc>
      </w:tr>
    </w:tbl>
    <w:p>
      <w:pPr>
        <w:pStyle w:val="612"/>
        <w:ind w:right="-1"/>
        <w:jc w:val="both"/>
        <w:rPr>
          <w:sz w:val="28"/>
          <w:szCs w:val="28"/>
        </w:rPr>
      </w:pPr>
      <w:r/>
      <w:bookmarkEnd w:id="8"/>
      <w:r>
        <w:rPr>
          <w:sz w:val="28"/>
          <w:szCs w:val="28"/>
        </w:rPr>
      </w:r>
      <w:r/>
    </w:p>
    <w:p>
      <w:pPr>
        <w:pStyle w:val="644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10" w:right="851" w:bottom="510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50"/>
      <w:isLgl w:val="false"/>
      <w:suff w:val="tab"/>
      <w:lvlText w:val=""/>
      <w:lvlJc w:val="left"/>
      <w:pPr>
        <w:pStyle w:val="61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1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2"/>
        <w:ind w:left="6688" w:hanging="360"/>
        <w:tabs>
          <w:tab w:val="num" w:pos="668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1144" w:hanging="435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2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2"/>
        <w:ind w:left="6120" w:hanging="180"/>
        <w:tabs>
          <w:tab w:val="num" w:pos="61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645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12"/>
        <w:ind w:left="6456" w:hanging="360"/>
      </w:pPr>
      <w:rPr>
        <w:sz w:val="24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12"/>
        <w:ind w:left="6816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12"/>
        <w:ind w:left="7176" w:hanging="1080"/>
      </w:pPr>
      <w:rPr>
        <w:sz w:val="24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12"/>
        <w:ind w:left="7176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12"/>
        <w:ind w:left="7536" w:hanging="1440"/>
      </w:pPr>
      <w:rPr>
        <w:sz w:val="24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12"/>
        <w:ind w:left="7536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12"/>
        <w:ind w:left="7896" w:hanging="180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12"/>
        <w:ind w:left="8256" w:hanging="2160"/>
      </w:pPr>
      <w:rPr>
        <w:sz w:val="24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360" w:hanging="360"/>
        <w:tabs>
          <w:tab w:val="num" w:pos="360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pStyle w:val="61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2"/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2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2"/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2"/>
    <w:next w:val="61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2"/>
    <w:next w:val="61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2"/>
    <w:next w:val="61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2"/>
    <w:next w:val="61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2"/>
    <w:next w:val="61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2"/>
    <w:next w:val="61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2"/>
    <w:next w:val="61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2"/>
    <w:next w:val="61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2"/>
    <w:next w:val="61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2"/>
    <w:next w:val="61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2"/>
    <w:next w:val="61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2"/>
    <w:next w:val="61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2"/>
    <w:next w:val="61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next w:val="612"/>
    <w:link w:val="612"/>
    <w:qFormat/>
    <w:rPr>
      <w:sz w:val="24"/>
      <w:szCs w:val="24"/>
      <w:lang w:val="ru-RU" w:eastAsia="ru-RU" w:bidi="ar-SA"/>
    </w:rPr>
  </w:style>
  <w:style w:type="paragraph" w:styleId="613">
    <w:name w:val="Заголовок 1"/>
    <w:basedOn w:val="612"/>
    <w:next w:val="612"/>
    <w:link w:val="649"/>
    <w:qFormat/>
    <w:pPr>
      <w:jc w:val="center"/>
      <w:keepNext/>
      <w:outlineLvl w:val="0"/>
    </w:pPr>
    <w:rPr>
      <w:b/>
      <w:sz w:val="22"/>
      <w:szCs w:val="20"/>
    </w:rPr>
  </w:style>
  <w:style w:type="paragraph" w:styleId="614">
    <w:name w:val="Заголовок 2"/>
    <w:basedOn w:val="612"/>
    <w:next w:val="612"/>
    <w:link w:val="652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15">
    <w:name w:val="Заголовок 3"/>
    <w:basedOn w:val="612"/>
    <w:next w:val="612"/>
    <w:link w:val="63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16">
    <w:name w:val="Заголовок 4"/>
    <w:basedOn w:val="612"/>
    <w:next w:val="612"/>
    <w:link w:val="668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17">
    <w:name w:val="Заголовок 5"/>
    <w:basedOn w:val="612"/>
    <w:next w:val="612"/>
    <w:link w:val="669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18">
    <w:name w:val="Заголовок 6"/>
    <w:basedOn w:val="612"/>
    <w:next w:val="612"/>
    <w:link w:val="67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19">
    <w:name w:val="Заголовок 7"/>
    <w:basedOn w:val="612"/>
    <w:next w:val="612"/>
    <w:link w:val="671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20">
    <w:name w:val="Заголовок 8"/>
    <w:basedOn w:val="612"/>
    <w:next w:val="612"/>
    <w:link w:val="672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21">
    <w:name w:val="Заголовок 9"/>
    <w:basedOn w:val="612"/>
    <w:next w:val="612"/>
    <w:link w:val="673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22">
    <w:name w:val="Основной шрифт абзаца"/>
    <w:next w:val="622"/>
    <w:link w:val="612"/>
    <w:semiHidden/>
  </w:style>
  <w:style w:type="table" w:styleId="623">
    <w:name w:val="Обычная таблица"/>
    <w:next w:val="623"/>
    <w:link w:val="612"/>
    <w:semiHidden/>
    <w:tblPr/>
  </w:style>
  <w:style w:type="numbering" w:styleId="624">
    <w:name w:val="Нет списка"/>
    <w:next w:val="624"/>
    <w:link w:val="612"/>
    <w:uiPriority w:val="99"/>
    <w:semiHidden/>
  </w:style>
  <w:style w:type="table" w:styleId="625">
    <w:name w:val="Сетка таблицы"/>
    <w:basedOn w:val="623"/>
    <w:next w:val="625"/>
    <w:link w:val="612"/>
    <w:uiPriority w:val="39"/>
    <w:tblPr/>
  </w:style>
  <w:style w:type="character" w:styleId="626">
    <w:name w:val="Гиперссылка"/>
    <w:next w:val="626"/>
    <w:link w:val="612"/>
    <w:uiPriority w:val="99"/>
    <w:rPr>
      <w:color w:val="0000ff"/>
      <w:u w:val="single"/>
    </w:rPr>
  </w:style>
  <w:style w:type="paragraph" w:styleId="627">
    <w:name w:val="Текст выноски"/>
    <w:basedOn w:val="612"/>
    <w:next w:val="627"/>
    <w:link w:val="663"/>
    <w:uiPriority w:val="99"/>
    <w:semiHidden/>
    <w:rPr>
      <w:rFonts w:ascii="Tahoma" w:hAnsi="Tahoma" w:cs="Tahoma"/>
      <w:sz w:val="16"/>
      <w:szCs w:val="16"/>
    </w:rPr>
  </w:style>
  <w:style w:type="paragraph" w:styleId="628">
    <w:name w:val="Абзац списка,мой"/>
    <w:basedOn w:val="612"/>
    <w:next w:val="628"/>
    <w:link w:val="718"/>
    <w:uiPriority w:val="34"/>
    <w:qFormat/>
    <w:pPr>
      <w:contextualSpacing/>
      <w:ind w:left="720"/>
    </w:pPr>
  </w:style>
  <w:style w:type="paragraph" w:styleId="629">
    <w:name w:val="Основной текст с отступом"/>
    <w:basedOn w:val="612"/>
    <w:next w:val="629"/>
    <w:link w:val="630"/>
    <w:uiPriority w:val="99"/>
    <w:unhideWhenUsed/>
    <w:pPr>
      <w:ind w:firstLine="708"/>
      <w:jc w:val="both"/>
    </w:pPr>
    <w:rPr>
      <w:lang w:val="en-US" w:eastAsia="en-US"/>
    </w:rPr>
  </w:style>
  <w:style w:type="character" w:styleId="630">
    <w:name w:val="Основной текст с отступом Знак"/>
    <w:next w:val="630"/>
    <w:link w:val="629"/>
    <w:uiPriority w:val="99"/>
    <w:rPr>
      <w:sz w:val="24"/>
      <w:szCs w:val="24"/>
      <w:lang w:val="en-US" w:eastAsia="en-US"/>
    </w:rPr>
  </w:style>
  <w:style w:type="paragraph" w:styleId="631">
    <w:name w:val="Основной текст"/>
    <w:basedOn w:val="612"/>
    <w:next w:val="631"/>
    <w:link w:val="632"/>
    <w:uiPriority w:val="99"/>
    <w:unhideWhenUsed/>
    <w:pPr>
      <w:spacing w:after="120"/>
    </w:pPr>
    <w:rPr>
      <w:lang w:val="en-US" w:eastAsia="en-US"/>
    </w:rPr>
  </w:style>
  <w:style w:type="character" w:styleId="632">
    <w:name w:val="Основной текст Знак"/>
    <w:next w:val="632"/>
    <w:link w:val="631"/>
    <w:uiPriority w:val="99"/>
    <w:rPr>
      <w:sz w:val="24"/>
      <w:szCs w:val="24"/>
    </w:rPr>
  </w:style>
  <w:style w:type="paragraph" w:styleId="633">
    <w:name w:val="ConsPlusNormal"/>
    <w:next w:val="633"/>
    <w:link w:val="640"/>
    <w:qFormat/>
    <w:rPr>
      <w:sz w:val="24"/>
      <w:szCs w:val="24"/>
      <w:lang w:val="ru-RU" w:eastAsia="ru-RU" w:bidi="ar-SA"/>
    </w:rPr>
  </w:style>
  <w:style w:type="character" w:styleId="634">
    <w:name w:val="Основной текст_"/>
    <w:next w:val="634"/>
    <w:link w:val="635"/>
    <w:rPr>
      <w:sz w:val="27"/>
      <w:szCs w:val="27"/>
      <w:shd w:val="clear" w:color="auto" w:fill="ffffff"/>
    </w:rPr>
  </w:style>
  <w:style w:type="paragraph" w:styleId="635">
    <w:name w:val="Основной текст1"/>
    <w:basedOn w:val="612"/>
    <w:next w:val="635"/>
    <w:link w:val="63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36">
    <w:name w:val="ConsPlusCell"/>
    <w:next w:val="636"/>
    <w:link w:val="612"/>
    <w:pPr>
      <w:widowControl w:val="off"/>
    </w:pPr>
    <w:rPr>
      <w:rFonts w:ascii="Arial" w:hAnsi="Arial" w:cs="Arial"/>
      <w:lang w:val="ru-RU" w:eastAsia="ru-RU" w:bidi="ar-SA"/>
    </w:rPr>
  </w:style>
  <w:style w:type="paragraph" w:styleId="637">
    <w:name w:val="ConsPlusTitle"/>
    <w:next w:val="637"/>
    <w:link w:val="612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38">
    <w:name w:val="ConsPlusNonformat"/>
    <w:next w:val="638"/>
    <w:link w:val="61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39">
    <w:name w:val="Заголовок 3 Знак"/>
    <w:next w:val="639"/>
    <w:link w:val="61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40">
    <w:name w:val="ConsPlusNormal Знак"/>
    <w:next w:val="640"/>
    <w:link w:val="633"/>
    <w:rPr>
      <w:sz w:val="24"/>
      <w:szCs w:val="24"/>
    </w:rPr>
  </w:style>
  <w:style w:type="character" w:styleId="641">
    <w:name w:val="Название Знак"/>
    <w:next w:val="641"/>
    <w:link w:val="612"/>
    <w:rPr>
      <w:rFonts w:ascii="Cambria" w:hAnsi="Cambria" w:eastAsia="Times New Roman" w:cs="Times New Roman"/>
      <w:b/>
      <w:bCs/>
      <w:sz w:val="32"/>
      <w:szCs w:val="32"/>
    </w:rPr>
  </w:style>
  <w:style w:type="paragraph" w:styleId="642">
    <w:name w:val="Заголовок"/>
    <w:basedOn w:val="612"/>
    <w:next w:val="612"/>
    <w:link w:val="643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43">
    <w:name w:val="Заголовок Знак"/>
    <w:next w:val="643"/>
    <w:link w:val="64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44">
    <w:name w:val="Без интервала"/>
    <w:next w:val="644"/>
    <w:link w:val="612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45">
    <w:name w:val="Заголовок №2_"/>
    <w:next w:val="645"/>
    <w:link w:val="646"/>
    <w:rPr>
      <w:sz w:val="19"/>
      <w:szCs w:val="19"/>
      <w:shd w:val="clear" w:color="auto" w:fill="ffffff"/>
    </w:rPr>
  </w:style>
  <w:style w:type="paragraph" w:styleId="646">
    <w:name w:val="Заголовок №2"/>
    <w:basedOn w:val="612"/>
    <w:next w:val="646"/>
    <w:link w:val="64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47">
    <w:name w:val="Основной текст + Интервал 0 pt"/>
    <w:next w:val="647"/>
    <w:link w:val="612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48">
    <w:name w:val="Обычный (веб)"/>
    <w:basedOn w:val="612"/>
    <w:next w:val="648"/>
    <w:link w:val="612"/>
    <w:uiPriority w:val="99"/>
    <w:unhideWhenUsed/>
    <w:pPr>
      <w:spacing w:before="100" w:beforeAutospacing="1" w:after="100" w:afterAutospacing="1"/>
    </w:pPr>
  </w:style>
  <w:style w:type="character" w:styleId="649">
    <w:name w:val="Заголовок 1 Знак"/>
    <w:next w:val="649"/>
    <w:link w:val="613"/>
    <w:rPr>
      <w:b/>
      <w:sz w:val="22"/>
    </w:rPr>
  </w:style>
  <w:style w:type="numbering" w:styleId="650">
    <w:name w:val="Стиль1"/>
    <w:next w:val="650"/>
    <w:link w:val="612"/>
    <w:uiPriority w:val="99"/>
    <w:pPr>
      <w:numPr>
        <w:numId w:val="1"/>
      </w:numPr>
    </w:pPr>
  </w:style>
  <w:style w:type="character" w:styleId="651">
    <w:name w:val="Строгий"/>
    <w:next w:val="651"/>
    <w:link w:val="612"/>
    <w:uiPriority w:val="22"/>
    <w:qFormat/>
    <w:rPr>
      <w:b/>
      <w:bCs/>
    </w:rPr>
  </w:style>
  <w:style w:type="character" w:styleId="652">
    <w:name w:val="Заголовок 2 Знак"/>
    <w:next w:val="652"/>
    <w:link w:val="614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53">
    <w:name w:val="Основной текст 2"/>
    <w:basedOn w:val="612"/>
    <w:next w:val="653"/>
    <w:link w:val="654"/>
    <w:semiHidden/>
    <w:unhideWhenUsed/>
    <w:pPr>
      <w:spacing w:after="120" w:line="480" w:lineRule="auto"/>
    </w:pPr>
  </w:style>
  <w:style w:type="character" w:styleId="654">
    <w:name w:val="Основной текст 2 Знак"/>
    <w:next w:val="654"/>
    <w:link w:val="653"/>
    <w:semiHidden/>
    <w:rPr>
      <w:sz w:val="24"/>
      <w:szCs w:val="24"/>
    </w:rPr>
  </w:style>
  <w:style w:type="table" w:styleId="655">
    <w:name w:val="Сетка таблицы1"/>
    <w:basedOn w:val="623"/>
    <w:next w:val="625"/>
    <w:link w:val="61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56">
    <w:name w:val="ConsNonformat"/>
    <w:next w:val="656"/>
    <w:link w:val="612"/>
    <w:qFormat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57">
    <w:name w:val="Основной текст7"/>
    <w:basedOn w:val="612"/>
    <w:next w:val="657"/>
    <w:link w:val="61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58">
    <w:name w:val="Верхний колонтитул"/>
    <w:basedOn w:val="612"/>
    <w:next w:val="658"/>
    <w:link w:val="65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9">
    <w:name w:val="Верхний колонтитул Знак"/>
    <w:next w:val="659"/>
    <w:link w:val="658"/>
    <w:uiPriority w:val="99"/>
    <w:rPr>
      <w:sz w:val="24"/>
      <w:szCs w:val="24"/>
      <w:lang w:val="en-US" w:eastAsia="en-US"/>
    </w:rPr>
  </w:style>
  <w:style w:type="paragraph" w:styleId="660">
    <w:name w:val="Нижний колонтитул"/>
    <w:basedOn w:val="612"/>
    <w:next w:val="660"/>
    <w:link w:val="66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1">
    <w:name w:val="Нижний колонтитул Знак"/>
    <w:next w:val="661"/>
    <w:link w:val="660"/>
    <w:uiPriority w:val="99"/>
    <w:rPr>
      <w:sz w:val="24"/>
      <w:szCs w:val="24"/>
      <w:lang w:val="en-US" w:eastAsia="en-US"/>
    </w:rPr>
  </w:style>
  <w:style w:type="numbering" w:styleId="662">
    <w:name w:val="Нет списка1"/>
    <w:next w:val="624"/>
    <w:link w:val="612"/>
    <w:uiPriority w:val="99"/>
    <w:semiHidden/>
    <w:unhideWhenUsed/>
  </w:style>
  <w:style w:type="character" w:styleId="663">
    <w:name w:val="Текст выноски Знак"/>
    <w:next w:val="663"/>
    <w:link w:val="627"/>
    <w:uiPriority w:val="99"/>
    <w:semiHidden/>
    <w:rPr>
      <w:rFonts w:ascii="Tahoma" w:hAnsi="Tahoma" w:cs="Tahoma"/>
      <w:sz w:val="16"/>
      <w:szCs w:val="16"/>
    </w:rPr>
  </w:style>
  <w:style w:type="paragraph" w:styleId="664">
    <w:name w:val=" Знак"/>
    <w:basedOn w:val="612"/>
    <w:next w:val="664"/>
    <w:link w:val="61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65">
    <w:name w:val="Нет списка2"/>
    <w:next w:val="624"/>
    <w:link w:val="612"/>
    <w:uiPriority w:val="99"/>
    <w:semiHidden/>
    <w:unhideWhenUsed/>
  </w:style>
  <w:style w:type="numbering" w:styleId="666">
    <w:name w:val="Нет списка3"/>
    <w:next w:val="624"/>
    <w:link w:val="612"/>
    <w:uiPriority w:val="99"/>
    <w:semiHidden/>
    <w:unhideWhenUsed/>
  </w:style>
  <w:style w:type="paragraph" w:styleId="667">
    <w:name w:val="Default"/>
    <w:next w:val="667"/>
    <w:link w:val="612"/>
    <w:rPr>
      <w:color w:val="000000"/>
      <w:sz w:val="24"/>
      <w:szCs w:val="24"/>
      <w:lang w:val="ru-RU" w:eastAsia="ru-RU" w:bidi="ar-SA"/>
    </w:rPr>
  </w:style>
  <w:style w:type="character" w:styleId="668">
    <w:name w:val="Заголовок 4 Знак"/>
    <w:next w:val="668"/>
    <w:link w:val="616"/>
    <w:uiPriority w:val="9"/>
    <w:semiHidden/>
    <w:rPr>
      <w:rFonts w:ascii="Calibri" w:hAnsi="Calibri"/>
      <w:b/>
      <w:bCs/>
      <w:sz w:val="28"/>
      <w:szCs w:val="28"/>
    </w:rPr>
  </w:style>
  <w:style w:type="character" w:styleId="669">
    <w:name w:val="Заголовок 5 Знак"/>
    <w:next w:val="669"/>
    <w:link w:val="617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670">
    <w:name w:val="Заголовок 6 Знак"/>
    <w:next w:val="670"/>
    <w:link w:val="618"/>
    <w:uiPriority w:val="9"/>
    <w:semiHidden/>
    <w:rPr>
      <w:rFonts w:ascii="Calibri" w:hAnsi="Calibri"/>
      <w:b/>
      <w:bCs/>
      <w:sz w:val="22"/>
      <w:szCs w:val="22"/>
    </w:rPr>
  </w:style>
  <w:style w:type="character" w:styleId="671">
    <w:name w:val="Заголовок 7 Знак"/>
    <w:next w:val="671"/>
    <w:link w:val="619"/>
    <w:uiPriority w:val="9"/>
    <w:semiHidden/>
    <w:rPr>
      <w:rFonts w:ascii="Calibri" w:hAnsi="Calibri"/>
      <w:sz w:val="22"/>
      <w:szCs w:val="22"/>
    </w:rPr>
  </w:style>
  <w:style w:type="character" w:styleId="672">
    <w:name w:val="Заголовок 8 Знак"/>
    <w:next w:val="672"/>
    <w:link w:val="620"/>
    <w:uiPriority w:val="9"/>
    <w:semiHidden/>
    <w:rPr>
      <w:rFonts w:ascii="Calibri" w:hAnsi="Calibri"/>
      <w:i/>
      <w:iCs/>
      <w:sz w:val="22"/>
      <w:szCs w:val="22"/>
    </w:rPr>
  </w:style>
  <w:style w:type="character" w:styleId="673">
    <w:name w:val="Заголовок 9 Знак"/>
    <w:next w:val="673"/>
    <w:link w:val="621"/>
    <w:uiPriority w:val="9"/>
    <w:semiHidden/>
    <w:rPr>
      <w:rFonts w:ascii="Cambria" w:hAnsi="Cambria"/>
      <w:sz w:val="22"/>
      <w:szCs w:val="22"/>
    </w:rPr>
  </w:style>
  <w:style w:type="paragraph" w:styleId="674">
    <w:name w:val="Подзаголовок"/>
    <w:basedOn w:val="612"/>
    <w:next w:val="612"/>
    <w:link w:val="675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675">
    <w:name w:val="Подзаголовок Знак"/>
    <w:next w:val="675"/>
    <w:link w:val="674"/>
    <w:uiPriority w:val="11"/>
    <w:rPr>
      <w:rFonts w:ascii="Cambria" w:hAnsi="Cambria"/>
      <w:sz w:val="22"/>
      <w:szCs w:val="22"/>
    </w:rPr>
  </w:style>
  <w:style w:type="character" w:styleId="676">
    <w:name w:val="Выделение"/>
    <w:next w:val="676"/>
    <w:link w:val="612"/>
    <w:qFormat/>
    <w:rPr>
      <w:rFonts w:ascii="Calibri" w:hAnsi="Calibri"/>
      <w:b/>
      <w:i/>
      <w:iCs/>
    </w:rPr>
  </w:style>
  <w:style w:type="paragraph" w:styleId="677">
    <w:name w:val="Цитата 2"/>
    <w:basedOn w:val="612"/>
    <w:next w:val="612"/>
    <w:link w:val="678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678">
    <w:name w:val="Цитата 2 Знак"/>
    <w:next w:val="678"/>
    <w:link w:val="677"/>
    <w:uiPriority w:val="29"/>
    <w:rPr>
      <w:rFonts w:ascii="Calibri" w:hAnsi="Calibri"/>
      <w:i/>
      <w:sz w:val="22"/>
      <w:szCs w:val="22"/>
    </w:rPr>
  </w:style>
  <w:style w:type="paragraph" w:styleId="679">
    <w:name w:val="Выделенная цитата"/>
    <w:basedOn w:val="612"/>
    <w:next w:val="612"/>
    <w:link w:val="680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680">
    <w:name w:val="Выделенная цитата Знак"/>
    <w:next w:val="680"/>
    <w:link w:val="679"/>
    <w:uiPriority w:val="30"/>
    <w:rPr>
      <w:rFonts w:ascii="Calibri" w:hAnsi="Calibri"/>
      <w:b/>
      <w:i/>
      <w:sz w:val="22"/>
      <w:szCs w:val="22"/>
    </w:rPr>
  </w:style>
  <w:style w:type="character" w:styleId="681">
    <w:name w:val="Слабое выделение"/>
    <w:next w:val="681"/>
    <w:link w:val="612"/>
    <w:uiPriority w:val="19"/>
    <w:qFormat/>
    <w:rPr>
      <w:i/>
      <w:color w:val="5a5a5a"/>
    </w:rPr>
  </w:style>
  <w:style w:type="character" w:styleId="682">
    <w:name w:val="Сильное выделение"/>
    <w:next w:val="682"/>
    <w:link w:val="612"/>
    <w:uiPriority w:val="21"/>
    <w:qFormat/>
    <w:rPr>
      <w:b/>
      <w:i/>
      <w:sz w:val="24"/>
      <w:szCs w:val="24"/>
      <w:u w:val="single"/>
    </w:rPr>
  </w:style>
  <w:style w:type="character" w:styleId="683">
    <w:name w:val="Слабая ссылка"/>
    <w:next w:val="683"/>
    <w:link w:val="612"/>
    <w:uiPriority w:val="31"/>
    <w:qFormat/>
    <w:rPr>
      <w:sz w:val="24"/>
      <w:szCs w:val="24"/>
      <w:u w:val="single"/>
    </w:rPr>
  </w:style>
  <w:style w:type="character" w:styleId="684">
    <w:name w:val="Сильная ссылка"/>
    <w:next w:val="684"/>
    <w:link w:val="612"/>
    <w:uiPriority w:val="32"/>
    <w:qFormat/>
    <w:rPr>
      <w:b/>
      <w:sz w:val="24"/>
      <w:u w:val="single"/>
    </w:rPr>
  </w:style>
  <w:style w:type="character" w:styleId="685">
    <w:name w:val="Название книги"/>
    <w:next w:val="685"/>
    <w:link w:val="612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86">
    <w:name w:val="Заголовок оглавления"/>
    <w:basedOn w:val="613"/>
    <w:next w:val="612"/>
    <w:link w:val="61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87">
    <w:name w:val="Основной текст с отступом 3"/>
    <w:basedOn w:val="612"/>
    <w:next w:val="687"/>
    <w:link w:val="688"/>
    <w:unhideWhenUsed/>
    <w:pPr>
      <w:ind w:left="283"/>
      <w:spacing w:after="120"/>
    </w:pPr>
    <w:rPr>
      <w:sz w:val="16"/>
      <w:szCs w:val="16"/>
    </w:rPr>
  </w:style>
  <w:style w:type="character" w:styleId="688">
    <w:name w:val="Основной текст с отступом 3 Знак"/>
    <w:next w:val="688"/>
    <w:link w:val="687"/>
    <w:rPr>
      <w:sz w:val="16"/>
      <w:szCs w:val="16"/>
    </w:rPr>
  </w:style>
  <w:style w:type="paragraph" w:styleId="689">
    <w:name w:val="Знак"/>
    <w:basedOn w:val="612"/>
    <w:next w:val="689"/>
    <w:link w:val="612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90">
    <w:name w:val="Просмотренная гиперссылка"/>
    <w:next w:val="690"/>
    <w:link w:val="612"/>
    <w:uiPriority w:val="99"/>
    <w:semiHidden/>
    <w:unhideWhenUsed/>
    <w:rPr>
      <w:color w:val="800080"/>
      <w:u w:val="single"/>
    </w:rPr>
  </w:style>
  <w:style w:type="paragraph" w:styleId="691">
    <w:name w:val="ConsTitle"/>
    <w:next w:val="691"/>
    <w:link w:val="61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692">
    <w:name w:val="ConsNormal"/>
    <w:next w:val="692"/>
    <w:link w:val="61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93">
    <w:name w:val=" Знак Знак1"/>
    <w:basedOn w:val="612"/>
    <w:next w:val="693"/>
    <w:link w:val="61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694">
    <w:name w:val="Колонтитул (2)_"/>
    <w:next w:val="694"/>
    <w:link w:val="699"/>
  </w:style>
  <w:style w:type="character" w:styleId="695">
    <w:name w:val="Основной текст (2)_"/>
    <w:next w:val="695"/>
    <w:link w:val="700"/>
  </w:style>
  <w:style w:type="character" w:styleId="696">
    <w:name w:val="Заголовок №1_"/>
    <w:next w:val="696"/>
    <w:link w:val="701"/>
    <w:rPr>
      <w:b/>
      <w:bCs/>
    </w:rPr>
  </w:style>
  <w:style w:type="character" w:styleId="697">
    <w:name w:val="Другое_"/>
    <w:next w:val="697"/>
    <w:link w:val="702"/>
  </w:style>
  <w:style w:type="character" w:styleId="698">
    <w:name w:val="Подпись к таблице_"/>
    <w:next w:val="698"/>
    <w:link w:val="703"/>
  </w:style>
  <w:style w:type="paragraph" w:styleId="699">
    <w:name w:val="Колонтитул (2)"/>
    <w:basedOn w:val="612"/>
    <w:next w:val="699"/>
    <w:link w:val="694"/>
    <w:pPr>
      <w:widowControl w:val="off"/>
    </w:pPr>
    <w:rPr>
      <w:sz w:val="20"/>
      <w:szCs w:val="20"/>
    </w:rPr>
  </w:style>
  <w:style w:type="paragraph" w:styleId="700">
    <w:name w:val="Основной текст (2)"/>
    <w:basedOn w:val="612"/>
    <w:next w:val="700"/>
    <w:link w:val="695"/>
    <w:pPr>
      <w:ind w:left="5600"/>
      <w:widowControl w:val="off"/>
    </w:pPr>
    <w:rPr>
      <w:sz w:val="20"/>
      <w:szCs w:val="20"/>
    </w:rPr>
  </w:style>
  <w:style w:type="paragraph" w:styleId="701">
    <w:name w:val="Заголовок №1"/>
    <w:basedOn w:val="612"/>
    <w:next w:val="701"/>
    <w:link w:val="69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02">
    <w:name w:val="Другое"/>
    <w:basedOn w:val="612"/>
    <w:next w:val="702"/>
    <w:link w:val="697"/>
    <w:pPr>
      <w:widowControl w:val="off"/>
    </w:pPr>
    <w:rPr>
      <w:sz w:val="20"/>
      <w:szCs w:val="20"/>
    </w:rPr>
  </w:style>
  <w:style w:type="paragraph" w:styleId="703">
    <w:name w:val="Подпись к таблице"/>
    <w:basedOn w:val="612"/>
    <w:next w:val="703"/>
    <w:link w:val="698"/>
    <w:pPr>
      <w:widowControl w:val="off"/>
    </w:pPr>
    <w:rPr>
      <w:sz w:val="20"/>
      <w:szCs w:val="20"/>
    </w:rPr>
  </w:style>
  <w:style w:type="paragraph" w:styleId="704">
    <w:name w:val="Основной текст (2)1"/>
    <w:basedOn w:val="612"/>
    <w:next w:val="704"/>
    <w:link w:val="61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05">
    <w:name w:val="Основной текст (2) + 9 pt"/>
    <w:next w:val="705"/>
    <w:link w:val="612"/>
    <w:uiPriority w:val="99"/>
    <w:rPr>
      <w:rFonts w:cs="Times New Roman"/>
      <w:sz w:val="18"/>
      <w:szCs w:val="18"/>
      <w:shd w:val="clear" w:color="auto" w:fill="ffffff"/>
    </w:rPr>
  </w:style>
  <w:style w:type="character" w:styleId="706">
    <w:name w:val="Основной текст (2) + 9 pt2,Полужирный2,Курсив2"/>
    <w:next w:val="706"/>
    <w:link w:val="61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07">
    <w:name w:val="Основной текст (3)_"/>
    <w:next w:val="707"/>
    <w:link w:val="708"/>
    <w:rPr>
      <w:sz w:val="21"/>
      <w:szCs w:val="21"/>
      <w:shd w:val="clear" w:color="auto" w:fill="ffffff"/>
    </w:rPr>
  </w:style>
  <w:style w:type="paragraph" w:styleId="708">
    <w:name w:val="Основной текст (3)"/>
    <w:basedOn w:val="612"/>
    <w:next w:val="708"/>
    <w:link w:val="70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09">
    <w:name w:val="Основной текст3"/>
    <w:basedOn w:val="612"/>
    <w:next w:val="709"/>
    <w:link w:val="61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10">
    <w:name w:val="1"/>
    <w:basedOn w:val="612"/>
    <w:next w:val="710"/>
    <w:link w:val="612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11">
    <w:name w:val="Цитата"/>
    <w:basedOn w:val="612"/>
    <w:next w:val="711"/>
    <w:link w:val="612"/>
    <w:pPr>
      <w:ind w:left="851" w:right="1274"/>
      <w:jc w:val="center"/>
    </w:pPr>
    <w:rPr>
      <w:b/>
      <w:sz w:val="28"/>
      <w:szCs w:val="20"/>
    </w:rPr>
  </w:style>
  <w:style w:type="paragraph" w:styleId="712">
    <w:name w:val="formattext topleveltext"/>
    <w:basedOn w:val="612"/>
    <w:next w:val="712"/>
    <w:link w:val="612"/>
    <w:pPr>
      <w:spacing w:before="100" w:beforeAutospacing="1" w:after="100" w:afterAutospacing="1"/>
    </w:pPr>
  </w:style>
  <w:style w:type="paragraph" w:styleId="713">
    <w:name w:val="Абзац списка1"/>
    <w:basedOn w:val="612"/>
    <w:next w:val="713"/>
    <w:link w:val="612"/>
    <w:pPr>
      <w:ind w:left="720"/>
      <w:spacing w:line="276" w:lineRule="auto"/>
    </w:pPr>
  </w:style>
  <w:style w:type="paragraph" w:styleId="714">
    <w:name w:val="Standard"/>
    <w:next w:val="714"/>
    <w:link w:val="612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15">
    <w:name w:val="Сетка таблицы2"/>
    <w:basedOn w:val="623"/>
    <w:next w:val="625"/>
    <w:link w:val="61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16">
    <w:name w:val="Сетка таблицы3"/>
    <w:basedOn w:val="623"/>
    <w:next w:val="625"/>
    <w:link w:val="61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7">
    <w:name w:val="Прижатый влево"/>
    <w:basedOn w:val="612"/>
    <w:next w:val="612"/>
    <w:link w:val="612"/>
    <w:rPr>
      <w:rFonts w:ascii="Arial" w:hAnsi="Arial"/>
      <w:sz w:val="20"/>
      <w:szCs w:val="20"/>
    </w:rPr>
  </w:style>
  <w:style w:type="character" w:styleId="718">
    <w:name w:val="Абзац списка Знак,мой Знак"/>
    <w:next w:val="718"/>
    <w:link w:val="628"/>
    <w:uiPriority w:val="34"/>
    <w:rPr>
      <w:sz w:val="24"/>
      <w:szCs w:val="24"/>
    </w:rPr>
  </w:style>
  <w:style w:type="paragraph" w:styleId="719">
    <w:name w:val="Абзац списка;мой"/>
    <w:basedOn w:val="612"/>
    <w:next w:val="719"/>
    <w:link w:val="720"/>
    <w:uiPriority w:val="34"/>
    <w:qFormat/>
    <w:pPr>
      <w:contextualSpacing/>
      <w:ind w:left="720"/>
    </w:pPr>
  </w:style>
  <w:style w:type="character" w:styleId="720">
    <w:name w:val="Абзац списка Знак;мой Знак"/>
    <w:next w:val="720"/>
    <w:link w:val="719"/>
    <w:uiPriority w:val="34"/>
    <w:rPr>
      <w:sz w:val="24"/>
      <w:szCs w:val="24"/>
    </w:rPr>
  </w:style>
  <w:style w:type="character" w:styleId="2002" w:default="1">
    <w:name w:val="Default Paragraph Font"/>
    <w:uiPriority w:val="1"/>
    <w:semiHidden/>
    <w:unhideWhenUsed/>
  </w:style>
  <w:style w:type="numbering" w:styleId="2003" w:default="1">
    <w:name w:val="No List"/>
    <w:uiPriority w:val="99"/>
    <w:semiHidden/>
    <w:unhideWhenUsed/>
  </w:style>
  <w:style w:type="table" w:styleId="20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523</cp:revision>
  <dcterms:created xsi:type="dcterms:W3CDTF">2020-03-19T03:57:00Z</dcterms:created>
  <dcterms:modified xsi:type="dcterms:W3CDTF">2023-11-08T04:39:09Z</dcterms:modified>
  <cp:version>983040</cp:version>
</cp:coreProperties>
</file>