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8480" cy="67500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38480" cy="67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4pt;height:53.1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67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ГОРОДА СОСНОВОБОРСКА</w:t>
      </w:r>
      <w:r/>
    </w:p>
    <w:p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/>
    </w:p>
    <w:p>
      <w:pPr>
        <w:ind w:left="567"/>
        <w:spacing w:after="0" w:line="240" w:lineRule="atLeast"/>
        <w:tabs>
          <w:tab w:val="left" w:pos="7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февраля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№161</w:t>
      </w:r>
      <w:r/>
    </w:p>
    <w:p>
      <w:pPr>
        <w:ind w:left="567" w:firstLine="567"/>
        <w:spacing w:after="0" w:line="240" w:lineRule="atLeast"/>
        <w:tabs>
          <w:tab w:val="left" w:pos="7380" w:leader="none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>
        <w:trPr>
          <w:trHeight w:val="1843"/>
        </w:trPr>
        <w:tc>
          <w:tcPr>
            <w:tcW w:w="5211" w:type="dxa"/>
            <w:textDirection w:val="lrTb"/>
            <w:noWrap w:val="false"/>
          </w:tcPr>
          <w:p>
            <w:pPr>
              <w:ind w:left="567" w:right="317" w:firstLine="567"/>
              <w:jc w:val="both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 Сосновоборска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«Культура города Сосновоборска»</w:t>
            </w:r>
            <w:r/>
          </w:p>
        </w:tc>
      </w:tr>
    </w:tbl>
    <w:p>
      <w:pPr>
        <w:ind w:left="567" w:firstLine="567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ст.179 Б</w:t>
      </w:r>
      <w:r>
        <w:rPr>
          <w:rFonts w:ascii="Times New Roman" w:hAnsi="Times New Roman" w:cs="Times New Roman"/>
          <w:sz w:val="28"/>
          <w:szCs w:val="28"/>
        </w:rPr>
        <w:t xml:space="preserve">юдж</w:t>
      </w:r>
      <w:r>
        <w:rPr>
          <w:rFonts w:ascii="Times New Roman" w:hAnsi="Times New Roman" w:cs="Times New Roman"/>
          <w:sz w:val="28"/>
          <w:szCs w:val="28"/>
        </w:rPr>
        <w:t xml:space="preserve">етного</w:t>
      </w:r>
      <w:r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 xml:space="preserve">екса</w:t>
      </w:r>
      <w:r>
        <w:rPr>
          <w:rFonts w:ascii="Times New Roman" w:hAnsi="Times New Roman" w:cs="Times New Roman"/>
          <w:sz w:val="28"/>
          <w:szCs w:val="28"/>
        </w:rPr>
        <w:t xml:space="preserve"> РФ,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г.Сосновоборска от 18.09.2013 № 1564 «Об утверждении Порядка принятия решений 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Сосновоборска, их формировании и реализации», постановлением администрации города от 06.11.2013 № 1847 «Об утверждении Перечня муниципальных программ города Сосновоборска»,</w:t>
      </w:r>
      <w:r>
        <w:rPr>
          <w:rFonts w:ascii="Roboto-Medium" w:hAnsi="Roboto-Medium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24, 26, 38 </w:t>
      </w:r>
      <w:r>
        <w:rPr>
          <w:rFonts w:ascii="Times New Roman" w:hAnsi="Times New Roman" w:cs="Times New Roman"/>
          <w:sz w:val="28"/>
          <w:szCs w:val="28"/>
        </w:rPr>
        <w:t xml:space="preserve">Устава 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left="567" w:firstLine="567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" w:firstLine="567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ПОСТАНОВЛЯЮ</w:t>
      </w:r>
      <w:r/>
    </w:p>
    <w:p>
      <w:pPr>
        <w:ind w:left="567" w:firstLine="567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8"/>
        <w:ind w:left="567" w:firstLine="567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города Сосновоборска от 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369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«Культура города Сосновоборска»:</w:t>
      </w:r>
      <w:r/>
    </w:p>
    <w:p>
      <w:pPr>
        <w:pStyle w:val="678"/>
        <w:ind w:left="567" w:firstLine="567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1 к постановлению «Паспорт муниципальной программы» раздел «Ресурсное обеспечение Программы» изложить в новой редакции:</w:t>
      </w:r>
      <w:r/>
    </w:p>
    <w:tbl>
      <w:tblPr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60"/>
        <w:gridCol w:w="771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0" w:type="dxa"/>
            <w:textDirection w:val="lrTb"/>
            <w:noWrap w:val="false"/>
          </w:tcPr>
          <w:p>
            <w:pPr>
              <w:pStyle w:val="695"/>
              <w:ind w:left="567" w:firstLine="34"/>
              <w:spacing w:line="240" w:lineRule="atLeas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Ресурсное обеспечение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3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681,69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148 66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437 772,46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136 138, 74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139 41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3 019, 55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руб.;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859, 24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2 141, 07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краевого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по годам: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379, 06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902, 63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ind w:firstLine="567"/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ind w:left="567" w:firstLine="567"/>
              <w:spacing w:after="0" w:line="240" w:lineRule="atLeast"/>
              <w:widowControl w:val="o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</w:tc>
      </w:tr>
    </w:tbl>
    <w:p>
      <w:pPr>
        <w:ind w:left="567"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«Культура города Сосновоборска» изложить в ново</w:t>
      </w:r>
      <w:r>
        <w:rPr>
          <w:rFonts w:ascii="Times New Roman" w:hAnsi="Times New Roman" w:cs="Times New Roman"/>
          <w:sz w:val="28"/>
          <w:szCs w:val="28"/>
        </w:rPr>
        <w:t xml:space="preserve">й редакции согласно прило</w:t>
      </w:r>
      <w:r>
        <w:rPr>
          <w:rFonts w:ascii="Times New Roman" w:hAnsi="Times New Roman" w:cs="Times New Roman"/>
          <w:sz w:val="28"/>
          <w:szCs w:val="28"/>
        </w:rPr>
        <w:t xml:space="preserve">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  <w:r/>
    </w:p>
    <w:p>
      <w:pPr>
        <w:pStyle w:val="678"/>
        <w:ind w:left="567" w:firstLine="567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«Культура города Сосновоборска»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  <w:r/>
    </w:p>
    <w:p>
      <w:pPr>
        <w:pStyle w:val="678"/>
        <w:ind w:left="567" w:firstLine="567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«Культура города Сосновоборска» изложить в ново</w:t>
      </w:r>
      <w:r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  <w:r/>
    </w:p>
    <w:p>
      <w:pPr>
        <w:pStyle w:val="678"/>
        <w:ind w:left="567" w:firstLine="567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  <w:r/>
    </w:p>
    <w:tbl>
      <w:tblPr>
        <w:tblW w:w="0" w:type="auto"/>
        <w:tblInd w:w="71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8"/>
        <w:gridCol w:w="768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8" w:type="dxa"/>
            <w:textDirection w:val="lrTb"/>
            <w:noWrap w:val="false"/>
          </w:tcPr>
          <w:p>
            <w:pPr>
              <w:ind w:left="-3" w:hanging="3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и источники финансирования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88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финансирования подпрограммы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19 988,05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16 114, 30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15 567, 30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107, 88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17 382, 85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14 509, 10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руб.;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13 962, 10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4 650, 00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1 550, 00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tLeast"/>
              <w:widowControl w:val="off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руб.</w:t>
            </w:r>
            <w:r/>
          </w:p>
        </w:tc>
      </w:tr>
    </w:tbl>
    <w:p>
      <w:pPr>
        <w:pStyle w:val="678"/>
        <w:ind w:left="567" w:firstLine="567"/>
        <w:jc w:val="both"/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</w:r>
      <w:r/>
    </w:p>
    <w:p>
      <w:pPr>
        <w:pStyle w:val="678"/>
        <w:ind w:left="567" w:firstLine="567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пункт 2.7. «</w:t>
      </w:r>
      <w:r>
        <w:rPr>
          <w:rFonts w:ascii="Times New Roman" w:hAnsi="Times New Roman" w:cs="Times New Roman"/>
          <w:sz w:val="28"/>
          <w:szCs w:val="28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– 50 669, 65 тыс. руб., в том числе по годам: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19 988,05 тыс. руб.;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16 114, 30 тыс. руб.;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15 567, 30 тыс. руб.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федерального бюджета – 57, 72 тыс. руб., из них по годам: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19, 24 тыс. руб.;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19, 24 тыс. руб.;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19, 24 тыс. руб.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краевого бюджета – 107, 88 тыс. руб., из них по годам: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35, 96 тыс. руб.;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35, 96 тыс. руб.;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35, 96 тыс. руб.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муниципального бюджета – 45 854, 05 тыс. руб., из них по годам: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17 382, 85 тыс. руб.;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14 509, 10 тыс. руб.;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13 962, 10 тыс. руб.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из внебюджетных источников – 4 650, 00 тыс. руб., из них по годам: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1 550, 00 тыс. руб.;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1 550, 00 тыс. руб.;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2024год – 1 550,00 тыс. руб.</w:t>
      </w:r>
      <w:r/>
    </w:p>
    <w:p>
      <w:pPr>
        <w:ind w:left="567" w:firstLine="567"/>
        <w:jc w:val="both"/>
        <w:spacing w:after="0" w:line="240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2 к подпрограмме 1 «Развитие библиотечного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музейного дела», реализуемой в рамках муниципальной программы «Культура города Сосновоборска»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  <w:r/>
    </w:p>
    <w:p>
      <w:pPr>
        <w:pStyle w:val="678"/>
        <w:ind w:left="567" w:firstLine="567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  <w:r/>
    </w:p>
    <w:tbl>
      <w:tblPr>
        <w:tblW w:w="9971" w:type="dxa"/>
        <w:tblInd w:w="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19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97"/>
              <w:ind w:left="192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1" w:type="dxa"/>
            <w:textDirection w:val="lrTb"/>
            <w:noWrap w:val="false"/>
          </w:tcPr>
          <w:p>
            <w:pPr>
              <w:ind w:right="-104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935,01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25 151,07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22 483, 14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22 300, 80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0,00 тыс. руб.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  <w:r/>
          </w:p>
          <w:p>
            <w:pPr>
              <w:jc w:val="both"/>
              <w:spacing w:after="0" w:line="240" w:lineRule="atLeast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годам: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24 051,07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21 483, 14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21 300, 80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100,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100,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 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 тыс. руб.</w:t>
            </w:r>
            <w:r/>
          </w:p>
        </w:tc>
      </w:tr>
    </w:tbl>
    <w:p>
      <w:pPr>
        <w:pStyle w:val="678"/>
        <w:ind w:left="0" w:firstLine="0"/>
        <w:jc w:val="both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«Культура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города Сосновоборска» пункт 2.7. «Обоснование финансовых, мате</w:t>
      </w:r>
      <w:r>
        <w:rPr>
          <w:rFonts w:ascii="Times New Roman" w:hAnsi="Times New Roman" w:cs="Times New Roman"/>
          <w:sz w:val="28"/>
          <w:szCs w:val="28"/>
        </w:rPr>
        <w:t xml:space="preserve">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образования в области культуры и искусства» изложить в новой редакции:</w:t>
      </w:r>
      <w:r/>
    </w:p>
    <w:p>
      <w:pPr>
        <w:pStyle w:val="678"/>
        <w:ind w:left="567"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«Финансовое обеспечение реализации мероприятий подпрограммы осуществляется за счет средств муниципального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краевого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источников финансирования.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– 69 935,01 в том числе по годам: 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25 151,07 тыс. руб.;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22 483, 14 тыс. руб.;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22 300, 80 тыс. руб.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федерального бюджета – 0,00  тыс. рублей, из них по годам: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0,00 тыс. руб.;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0,00 тыс. руб.;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0,00 тыс. руб.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краевого бюджета – 0,00 тыс. руб., из них по годам: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0,0 тыс. руб.;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0,00 тыс. руб.;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0,00 тыс. руб.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муниципального бюджета – 66 835, 01 тыс. рублей, из них по годам: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24 051,07 тыс. руб.;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21 483, 14 тыс. руб.;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21 300, 80 тыс. руб.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из внебюджетных источников – 3 100, 00 тыс. руб., в том числе по годам: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1 100, 00 тыс. руб.;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1 000,00 тыс. руб.;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1 000,00 тыс. руб.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  <w:r/>
    </w:p>
    <w:p>
      <w:pPr>
        <w:ind w:left="567" w:firstLine="567"/>
        <w:jc w:val="both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6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  <w:r/>
    </w:p>
    <w:tbl>
      <w:tblPr>
        <w:tblW w:w="10222" w:type="dxa"/>
        <w:tblInd w:w="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80"/>
        <w:gridCol w:w="644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97"/>
              <w:ind w:left="567" w:firstLine="5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тыс.руб., из них по годам: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2 961, 83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руб.;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2 121, 83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1 209, 77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343, 10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866, 67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286,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19 370, 17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18 605, 80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из внебюджетных источников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по годам: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руб.;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руб.</w:t>
            </w:r>
            <w:r/>
          </w:p>
          <w:p>
            <w:pPr>
              <w:spacing w:after="0" w:line="23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</w:tc>
      </w:tr>
    </w:tbl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6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«Культура города Сосновоборска» пункт 2.</w:t>
      </w:r>
      <w:r>
        <w:rPr>
          <w:rFonts w:ascii="Times New Roman" w:hAnsi="Times New Roman" w:cs="Times New Roman"/>
          <w:sz w:val="28"/>
          <w:szCs w:val="28"/>
        </w:rPr>
        <w:t xml:space="preserve">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– 83 298, 00 тыс.руб., из них по годам: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33 836, 43 тыс. руб.;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24 210, 27 тыс. руб.;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25 251, 30 тыс. руб. 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федерального бюджета – 2 961, 83 руб., из них по годам: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–0,00 тыс. руб.;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840, 00 тыс. руб.;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2 121, 83 тыс. руб.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краевого бюджета – 1 209, 77 руб., из них по годам: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0,00 тыс. руб.;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343, 10 тыс. руб.;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866, 67 тыс. руб. 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муниципального бюджета – 67 262, 40 руб., из них по годам: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29 286, 43 тыс. руб.;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19 370, 17 тыс. руб.;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18 605, 80 тыс. руб.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из внебюджетных источников – 11 864, 00 тыс. руб., в том числе по годам: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4 550, 00 тыс. руб.;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3 657,00 тыс. руб.;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3 657,00 тыс. руб.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</w:t>
      </w: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7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  <w:r/>
    </w:p>
    <w:tbl>
      <w:tblPr>
        <w:tblW w:w="9468" w:type="dxa"/>
        <w:tblInd w:w="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97"/>
              <w:ind w:firstLine="76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80 776, 33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85 544, 00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958,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257 821, 0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80 776,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85 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00 тыс. рублей.</w:t>
            </w:r>
            <w:r/>
          </w:p>
          <w:p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pStyle w:val="678"/>
        <w:ind w:left="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1.15</w:t>
      </w:r>
      <w:r>
        <w:rPr>
          <w:rFonts w:ascii="Times New Roman" w:hAnsi="Times New Roman" w:cs="Times New Roman"/>
          <w:sz w:val="28"/>
          <w:szCs w:val="28"/>
        </w:rPr>
        <w:t xml:space="preserve">. в приложении № 7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«Культура города Сосновоборска» пункт 2.7. «Обоснование финансовых, ма</w:t>
      </w:r>
      <w:r>
        <w:rPr>
          <w:rFonts w:ascii="Times New Roman" w:hAnsi="Times New Roman" w:cs="Times New Roman"/>
          <w:sz w:val="28"/>
          <w:szCs w:val="28"/>
        </w:rPr>
        <w:t xml:space="preserve">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– 261 779, 03 тыс. руб., из них по годам: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95 458, 70 тыс. рублей;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80 776, 33 тыс. рублей;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85 544, 00 тыс. рублей.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краевого бюджета – 3 958, 03 тыс. рублей, из них по годам: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3 958, 03 тыс. рублей;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0,00 тыс. рублей;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0,00 тыс. рублей.                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муниципального бюджета – 257 821, 00 тыс. руб., из них по годам: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91 500, 67 тыс. рублей;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80 776, 33 тыс. рублей;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85 544, 00 тыс. рублей.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общественно-политической газете «Рабочий».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78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  <w:sectPr>
          <w:footnotePr/>
          <w:endnotePr/>
          <w:type w:val="nextPage"/>
          <w:pgSz w:w="11906" w:h="16838" w:orient="portrait"/>
          <w:pgMar w:top="1134" w:right="567" w:bottom="851" w:left="567" w:header="709" w:footer="709" w:gutter="0"/>
          <w:cols w:num="1" w:sep="0" w:space="720" w:equalWidth="1"/>
          <w:docGrid w:linePitch="360"/>
        </w:sect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Кудря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цев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4218"/>
      </w:tblGrid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14218" w:type="dxa"/>
            <w:textDirection w:val="lrTb"/>
            <w:noWrap w:val="false"/>
          </w:tcPr>
          <w:p>
            <w:pPr>
              <w:ind w:left="921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07.02.2023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№161</w:t>
            </w:r>
            <w:r/>
          </w:p>
          <w:p>
            <w:pPr>
              <w:ind w:left="9105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105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</w:t>
            </w:r>
            <w:r/>
          </w:p>
          <w:p>
            <w:pPr>
              <w:ind w:left="9105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е</w:t>
            </w:r>
            <w:r/>
          </w:p>
          <w:p>
            <w:pPr>
              <w:ind w:left="9105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«Культура города Сосновоборска»</w:t>
            </w:r>
            <w:r/>
          </w:p>
        </w:tc>
      </w:tr>
    </w:tbl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распр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еделении планируемых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отд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ельным мероприятиям программы,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подпрограммам муниципальной программы «Культура города Сосновоборска»</w:t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tbl>
      <w:tblPr>
        <w:tblW w:w="14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356"/>
        <w:gridCol w:w="1929"/>
        <w:gridCol w:w="850"/>
        <w:gridCol w:w="709"/>
        <w:gridCol w:w="709"/>
        <w:gridCol w:w="709"/>
        <w:gridCol w:w="1276"/>
        <w:gridCol w:w="1276"/>
        <w:gridCol w:w="1417"/>
        <w:gridCol w:w="1701"/>
      </w:tblGrid>
      <w:tr>
        <w:trPr>
          <w:trHeight w:val="11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</w:tr>
      <w:tr>
        <w:trPr>
          <w:trHeight w:val="6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Рз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«Культура города Сосновоборска»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173 434,25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143 584,04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148 663,40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465 681,69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173 434,25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143 584,04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148 663,40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465 681,69</w:t>
            </w:r>
            <w:r/>
          </w:p>
        </w:tc>
      </w:tr>
      <w:tr>
        <w:trPr>
          <w:trHeight w:val="7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Развитие библиотечного и музейного дела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18 988,05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16 114,30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15 567,30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50 669,65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18 988,05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16 114,30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15 567,30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50 669,65</w:t>
            </w:r>
            <w:r/>
          </w:p>
        </w:tc>
      </w:tr>
      <w:tr>
        <w:trPr>
          <w:trHeight w:val="7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Развитие дополнительного образования в области культуры и искусств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25 151,07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22 483,14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22 300,80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69 935,01</w:t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25 151,07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22 483,14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22 300,80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69 935,01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Искусство и народное творчество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33 836,43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24 210,27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25 251,30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83 298,00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33 836,43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24 210,27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25 251,30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83 298,00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условий реализации программы и прочие мероприятия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95 458,70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80 776,33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85 544,00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261 779,03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95 458,70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80 776,33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85 544,00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261 779,03</w:t>
            </w:r>
            <w:r/>
          </w:p>
        </w:tc>
      </w:tr>
    </w:tbl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highlight w:val="none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highlight w:val="none"/>
          <w:lang w:eastAsia="en-US" w:bidi="en-US"/>
        </w:rPr>
      </w:r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highlight w:val="none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highlight w:val="none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highlight w:val="none"/>
          <w:lang w:eastAsia="en-US" w:bidi="en-US"/>
        </w:rPr>
      </w:r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highlight w:val="none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highlight w:val="none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highlight w:val="none"/>
          <w:lang w:eastAsia="en-US" w:bidi="en-US"/>
        </w:rPr>
      </w:r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highlight w:val="none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2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к постановлению администрации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от 07.02.2023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№161</w:t>
      </w:r>
      <w:r/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№ 2</w:t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  <w:r/>
    </w:p>
    <w:p>
      <w:pPr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«Культура города Сосновоборска»</w:t>
      </w:r>
      <w:r/>
    </w:p>
    <w:p>
      <w:pPr>
        <w:ind w:left="9639"/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ресурсном обеспечении и прогнозной оценке расходов на реализацию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целей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«Культура города Сосновоборска» с учетом источников финансирования, в том числе средств федеральног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бюджета, бюджета субъекта РФ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муниципального бюджета и внебюджетных источников финансирования</w:t>
      </w:r>
      <w:r/>
    </w:p>
    <w:tbl>
      <w:tblPr>
        <w:tblW w:w="14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3"/>
        <w:gridCol w:w="3381"/>
        <w:gridCol w:w="2551"/>
        <w:gridCol w:w="1276"/>
        <w:gridCol w:w="1559"/>
        <w:gridCol w:w="1701"/>
        <w:gridCol w:w="1984"/>
      </w:tblGrid>
      <w:tr>
        <w:trPr>
          <w:trHeight w:val="4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Статус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Источники финансирования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Оценка расходов(тыс. руб.), годы</w:t>
            </w:r>
            <w:r/>
          </w:p>
        </w:tc>
      </w:tr>
      <w:tr>
        <w:trPr>
          <w:trHeight w:val="8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Культура города Сосновоборска (Ответственный исполнитель УКСТМ)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173 434,25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143 584,04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148 663,40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465 681,69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2 141,07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3 019,55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3 993,99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379,06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902,63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5 275,68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6 207,00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6 207,00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19 614,00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162 221,02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136 138,74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139 412,70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437 772,46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Развитие библиотечного и музейного дела (Ответственный исполнитель УКСТМ)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18 988,05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16 114,30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15 567,30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50 669,65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18 988,05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16 114,30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15 567,30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50 669,65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57,72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107,88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1 550,00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1 550,00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1 550,00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4 650,00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17 382,85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14 509,10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13 962,10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45 854,05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Развитие дополнительного образования в области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культуры и искусства (Ответственный исполнитель УКСТМ)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25 151,07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22 483,14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22 300,80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69 935,01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25 151,07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22 483,14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22 300,80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69 935,01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1 100,00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3 100,00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24 051,07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21 483,14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21 300,80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66 835,01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Искусство и народное творчество (Ответственный исполнитель УКСТМ)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33 836,43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24 210,27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25 251,30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83 298,00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33 836,43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24 210,27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25 251,30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83 298,00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2 121,83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2 961,83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343,10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1 209,77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 источники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4 550,00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3 657,00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3 657,00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11 864,00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29 286,43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19 370,17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18 605,80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67 262,40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95 458,70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80 776,33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85 544,00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261 779,03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95 458,70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80 776,33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85 544,00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261 779,03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3 958,03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3 958,03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 источники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91 500,67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80 776,33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85 544,00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257 821,00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</w:tr>
    </w:tbl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lang w:eastAsia="en-US" w:bidi="en-US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3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к постановлению администрации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от 07.02.2023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№161</w:t>
      </w:r>
      <w:r/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/>
    </w:p>
    <w:p>
      <w:pPr>
        <w:pStyle w:val="696"/>
        <w:ind w:left="9639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«Культура города Сосновоборска»</w:t>
      </w:r>
      <w:r/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муниципальных заданий</w:t>
      </w:r>
      <w:r/>
    </w:p>
    <w:tbl>
      <w:tblPr>
        <w:tblW w:w="14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4"/>
        <w:gridCol w:w="1280"/>
        <w:gridCol w:w="1280"/>
        <w:gridCol w:w="1280"/>
        <w:gridCol w:w="1095"/>
        <w:gridCol w:w="1206"/>
        <w:gridCol w:w="1276"/>
        <w:gridCol w:w="1417"/>
        <w:gridCol w:w="1417"/>
        <w:gridCol w:w="1134"/>
        <w:gridCol w:w="1559"/>
      </w:tblGrid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услуги, показателя объема услуги (работы)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4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Значение показателя объема услуги (работы)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Расходы местного бюджета на оказание (выполнение) муниципальной услуги (работы), тыс. руб.</w:t>
            </w:r>
            <w:r/>
          </w:p>
        </w:tc>
      </w:tr>
      <w:tr>
        <w:trPr>
          <w:trHeight w:val="10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отчетный финансовый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текущий финансовый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отчетный финансовый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текущий финансовый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предоставление книг и других документов во временное пользование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Показатель объема услуги: число посещений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1. Развитие библиотечного и музейного дела</w:t>
            </w:r>
            <w:r/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11 954,89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13 343,80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16 702,65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14 301,90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13 754,90</w:t>
            </w:r>
            <w:r/>
          </w:p>
        </w:tc>
      </w:tr>
      <w:tr>
        <w:trPr>
          <w:trHeight w:val="51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предоставление дополнительного образования детям в области культуры и искусства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Показатель объема услуги: количество обучающихся на начало учебного  года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2. Развитие дополнительного образования в области культуры и искусства</w:t>
            </w:r>
            <w:r/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18 696,55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21 314,34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23 442,66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21 483,14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21 300,80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Организация и проведение культурно-массовых мероприятий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Показатель объема услуги: количество посетителей культурно-массовых мероприятий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3. Искусство и народное творчество</w:t>
            </w:r>
            <w:r/>
          </w:p>
        </w:tc>
      </w:tr>
      <w:tr>
        <w:trPr>
          <w:trHeight w:val="12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15 713,32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18 474,49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24 791,18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19 335,17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18 605,80</w:t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32"/>
        <w:gridCol w:w="14804"/>
      </w:tblGrid>
      <w:tr>
        <w:trPr/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/>
          </w:p>
        </w:tc>
        <w:tc>
          <w:tcPr>
            <w:tcW w:w="15014" w:type="dxa"/>
            <w:textDirection w:val="lrTb"/>
            <w:noWrap w:val="false"/>
          </w:tcPr>
          <w:p>
            <w:pPr>
              <w:pStyle w:val="699"/>
              <w:ind w:left="9301"/>
              <w:rPr>
                <w:b/>
                <w:bCs/>
                <w:color w:val="auto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highlight w:val="none"/>
                <w:lang w:eastAsia="en-US" w:bidi="en-US"/>
              </w:rPr>
            </w:r>
            <w:r>
              <w:rPr>
                <w:color w:val="auto"/>
                <w:highlight w:val="none"/>
                <w:lang w:eastAsia="en-US" w:bidi="en-US"/>
              </w:rPr>
            </w:r>
          </w:p>
          <w:p>
            <w:pPr>
              <w:pStyle w:val="699"/>
              <w:ind w:left="9301"/>
              <w:rPr>
                <w:color w:val="auto"/>
                <w:highlight w:val="none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Приложение</w:t>
            </w:r>
            <w:r>
              <w:rPr>
                <w:color w:val="auto"/>
                <w:lang w:eastAsia="en-US" w:bidi="en-US"/>
              </w:rPr>
              <w:t xml:space="preserve"> 4</w:t>
            </w:r>
            <w:r>
              <w:rPr>
                <w:color w:val="auto"/>
                <w:lang w:eastAsia="en-US" w:bidi="en-US"/>
              </w:rPr>
              <w:t xml:space="preserve"> </w:t>
            </w:r>
            <w:r>
              <w:rPr>
                <w:color w:val="auto"/>
                <w:lang w:eastAsia="en-US" w:bidi="en-US"/>
              </w:rPr>
              <w:br/>
              <w:t xml:space="preserve">к постановлению администрации</w:t>
            </w:r>
            <w:r>
              <w:rPr>
                <w:color w:val="auto"/>
                <w:lang w:eastAsia="en-US" w:bidi="en-US"/>
              </w:rPr>
              <w:br/>
            </w:r>
            <w:r>
              <w:rPr>
                <w:color w:val="auto"/>
                <w:lang w:eastAsia="en-US" w:bidi="en-US"/>
              </w:rPr>
              <w:t xml:space="preserve">города Сосновоборска</w:t>
            </w:r>
            <w:r>
              <w:rPr>
                <w:color w:val="auto"/>
                <w:lang w:eastAsia="en-US" w:bidi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от 07.02.2023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№161</w:t>
            </w:r>
            <w:r/>
            <w:r>
              <w:rPr>
                <w:color w:val="auto"/>
                <w:lang w:eastAsia="en-US" w:bidi="en-US"/>
              </w:rPr>
            </w:r>
            <w:r>
              <w:rPr>
                <w:color w:val="auto"/>
                <w:lang w:eastAsia="en-US" w:bidi="en-US"/>
              </w:rPr>
              <w:br/>
            </w:r>
            <w:r/>
          </w:p>
          <w:p>
            <w:pPr>
              <w:ind w:left="9284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  <w:r/>
          </w:p>
          <w:p>
            <w:pPr>
              <w:ind w:left="9284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подпрогр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амме 1 «Развитие библиотечного и музейного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дела», реализуемой в рамках муниципальной программы «Культура города Сосновоборска»</w:t>
            </w:r>
            <w:r/>
          </w:p>
        </w:tc>
      </w:tr>
    </w:tbl>
    <w:p>
      <w:pPr>
        <w:ind w:firstLine="709"/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граммы «Развитие библиотечного и музейного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дела»</w:t>
      </w:r>
      <w:r/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15026"/>
      </w:tblGrid>
      <w:tr>
        <w:trPr>
          <w:trHeight w:val="1418"/>
        </w:trPr>
        <w:tc>
          <w:tcPr>
            <w:tcW w:w="2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150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tbl>
            <w:tblPr>
              <w:tblW w:w="14948" w:type="dxa"/>
              <w:tblLayout w:type="fixed"/>
              <w:tblLook w:val="04A0" w:firstRow="1" w:lastRow="0" w:firstColumn="1" w:lastColumn="0" w:noHBand="0" w:noVBand="1"/>
            </w:tblPr>
            <w:tblGrid>
              <w:gridCol w:w="2260"/>
              <w:gridCol w:w="1029"/>
              <w:gridCol w:w="567"/>
              <w:gridCol w:w="709"/>
              <w:gridCol w:w="1454"/>
              <w:gridCol w:w="567"/>
              <w:gridCol w:w="992"/>
              <w:gridCol w:w="1417"/>
              <w:gridCol w:w="1276"/>
              <w:gridCol w:w="1559"/>
              <w:gridCol w:w="3118"/>
            </w:tblGrid>
            <w:tr>
              <w:trPr>
                <w:trHeight w:val="85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Наименование  программы, подпрограммы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ГРБС</w:t>
                  </w:r>
                  <w:r/>
                </w:p>
              </w:tc>
              <w:tc>
                <w:tcPr>
                  <w:gridSpan w:val="4"/>
                  <w:shd w:val="clear" w:color="auto" w:fill="auto"/>
                  <w:tcBorders>
                    <w:top w:val="single" w:color="auto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29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Код бюджетной классификации</w:t>
                  </w:r>
                  <w:r/>
                </w:p>
              </w:tc>
              <w:tc>
                <w:tcPr>
                  <w:gridSpan w:val="4"/>
                  <w:shd w:val="clear" w:color="auto" w:fill="auto"/>
                  <w:tcBorders>
                    <w:top w:val="single" w:color="auto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24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Расходы (тыс. руб.), годы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Ожидаемый результат от реализации подпрограммного мероприятия </w:t>
                  </w:r>
                  <w:r/>
                </w:p>
              </w:tc>
            </w:tr>
            <w:tr>
              <w:trPr>
                <w:trHeight w:val="675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ГРБ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С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7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РзПр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5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КЦСР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ВР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99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очередной финансовый год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первый год планового периода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второй год планового периода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итого на период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(в натуральном выражении)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gridSpan w:val="11"/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94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Цель. Создание условий для развития библиотечного и музейного дела на территории г. Сосновоборска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gridSpan w:val="11"/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94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Задача 1. Организация библиотечного обслуживания и публичное экспонирование музейного фонда.</w:t>
                  </w:r>
                  <w:r/>
                </w:p>
              </w:tc>
            </w:tr>
            <w:tr>
              <w:trPr>
                <w:trHeight w:val="1080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(оказание услуг) подведомственных учреждений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УКСТМ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062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7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0801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5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0810080610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621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99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16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702,65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14 301,90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13 754,90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44 759,45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1080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Обеспечение деятельности (оказание услуг) подведомственных учреждений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УКСТМ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062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7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0801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5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0810080610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622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99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8,94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8,94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1080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(оказание услуг) подведомственных учреждений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УКСТМ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062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7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0801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5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0810080610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465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99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463,06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463,06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1755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(оказание услуг) подведомственных учреждений (за счет средств от предпринимательской деятельности)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УКСТМ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062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7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0801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5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0810080610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849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99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1 500,00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1 500,00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1 500,00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4 500,00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1395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Обеспечение деятельности (оказание услуг) подведомственных учреждений (гранты, пожертвования)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УКСТМ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062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7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0801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5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0810080610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850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99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50,00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50,00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50,00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150,00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6"/>
                      <w:szCs w:val="16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Итого по задаче 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7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5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99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18</w:t>
                  </w: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724,65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15 851,90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15 304,90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49 881,45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gridSpan w:val="11"/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94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Задача 2. Комплектование и обеспечение сохранности книжных фондов муниципальных библиотек г. Сосновоборска.</w:t>
                  </w:r>
                  <w:r/>
                </w:p>
              </w:tc>
            </w:tr>
            <w:tr>
              <w:trPr>
                <w:trHeight w:val="2610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УКСТМ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062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7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0801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5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0810088120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622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99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200,00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200,00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200,00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600,00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2355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УКСТМ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062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7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0801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5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08100L5191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622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99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28,10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27,10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27,10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82,30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1725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Субсидии на комплектование книжных фондов библиотек муниципальных образований Красноярского края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УКСТМ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062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7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0801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5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08100S4880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622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99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35,30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35,30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35,30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105,90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285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Итого по задаче 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7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5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99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263,40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262,40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262,40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788,20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360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Итого по подпрограмме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0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7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5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99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18</w:t>
                  </w: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988,05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16 114,30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15 567,30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d0d0d"/>
                      <w:sz w:val="20"/>
                      <w:szCs w:val="20"/>
                    </w:rPr>
                    <w:t xml:space="preserve">50 669,65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</w:tbl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от 07.02.2023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№161</w:t>
            </w:r>
            <w:r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  <w:tabs>
                <w:tab w:val="left" w:pos="8054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  <w:tr>
        <w:trPr/>
        <w:tc>
          <w:tcPr>
            <w:tcW w:w="2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15026" w:type="dxa"/>
            <w:textDirection w:val="lrTb"/>
            <w:noWrap w:val="false"/>
          </w:tcPr>
          <w:p>
            <w:pPr>
              <w:ind w:left="938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  <w:r/>
          </w:p>
          <w:p>
            <w:pPr>
              <w:ind w:left="2246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речень мероприятий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дополнител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области культуры и искусства»</w:t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tbl>
      <w:tblPr>
        <w:tblW w:w="15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8"/>
        <w:gridCol w:w="992"/>
        <w:gridCol w:w="567"/>
        <w:gridCol w:w="709"/>
        <w:gridCol w:w="1276"/>
        <w:gridCol w:w="709"/>
        <w:gridCol w:w="1276"/>
        <w:gridCol w:w="1134"/>
        <w:gridCol w:w="1276"/>
        <w:gridCol w:w="1701"/>
        <w:gridCol w:w="2976"/>
      </w:tblGrid>
      <w:tr>
        <w:trPr>
          <w:trHeight w:val="48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trHeight w:val="12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15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7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7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1. Организация предоставления дополнительного образования детей в области культуры и искусства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23 442,66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21 483,14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21 300,80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66 226,60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608,41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608,41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5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(за счет средств от предпринимательской деятельности)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2 700,00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(пожертвования)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1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(гранты)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25 151,07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22 483,14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22 300,80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69 935,01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2246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2246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r>
          </w:p>
          <w:p>
            <w:pPr>
              <w:ind w:left="2246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r>
          </w:p>
          <w:p>
            <w:pPr>
              <w:ind w:left="2246"/>
              <w:spacing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от 07.02.2023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№161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/>
            <w:r/>
          </w:p>
        </w:tc>
      </w:tr>
      <w:tr>
        <w:trPr/>
        <w:tc>
          <w:tcPr>
            <w:tcW w:w="739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2246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  <w:r/>
          </w:p>
          <w:p>
            <w:pPr>
              <w:ind w:left="2246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«Культура города Сосновоборска»</w:t>
            </w:r>
            <w:r/>
          </w:p>
        </w:tc>
      </w:tr>
      <w:tr>
        <w:trPr/>
        <w:tc>
          <w:tcPr>
            <w:tcW w:w="739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196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«Искусство и народное творчество»</w:t>
      </w:r>
      <w:r/>
    </w:p>
    <w:tbl>
      <w:tblPr>
        <w:tblW w:w="14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8"/>
        <w:gridCol w:w="850"/>
        <w:gridCol w:w="850"/>
        <w:gridCol w:w="709"/>
        <w:gridCol w:w="1276"/>
        <w:gridCol w:w="709"/>
        <w:gridCol w:w="1276"/>
        <w:gridCol w:w="1134"/>
        <w:gridCol w:w="992"/>
        <w:gridCol w:w="1276"/>
        <w:gridCol w:w="2268"/>
      </w:tblGrid>
      <w:tr>
        <w:trPr>
          <w:trHeight w:val="6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Наименование программы,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</w:t>
            </w:r>
            <w:r/>
          </w:p>
        </w:tc>
      </w:tr>
      <w:tr>
        <w:trPr>
          <w:trHeight w:val="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очередной финансовый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(в натуральном выражении)</w:t>
            </w:r>
            <w:r/>
          </w:p>
        </w:tc>
      </w:tr>
      <w:tr>
        <w:trPr>
          <w:trHeight w:val="300"/>
        </w:trPr>
        <w:tc>
          <w:tcPr>
            <w:gridSpan w:val="10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Цель. Создание благоприятных условий для организации культурного досуга и отдыха жителей города Сосновоборска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0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1.Обеспечение доступа населения г.Сосновоборска к культурным благам и участию в культурной жизни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9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24 791,18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19 335,17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18 605,80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62 732,15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82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4 495,25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4 495,25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6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учреждений( за счет средств от предпринимательской деятельности)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4 550,00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3 657,00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3 657,00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11 864,00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33 836,43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22 992,17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22 262,80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79 091,40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0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Задача 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5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33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08300L4670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1 218,11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2 988,50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4 206,61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1 218,11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2 988,50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4 206,61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33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программе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33 836,43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24 210,28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25 251,30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83 298,01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 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7282" w:type="dxa"/>
        <w:tblLook w:val="04A0" w:firstRow="1" w:lastRow="0" w:firstColumn="1" w:lastColumn="0" w:noHBand="0" w:noVBand="1"/>
      </w:tblPr>
      <w:tblGrid>
        <w:gridCol w:w="9889"/>
        <w:gridCol w:w="7393"/>
      </w:tblGrid>
      <w:tr>
        <w:trPr/>
        <w:tc>
          <w:tcPr>
            <w:tcW w:w="988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от 07.02.2023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№161</w:t>
            </w:r>
            <w:r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tbl>
      <w:tblPr>
        <w:tblStyle w:val="70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253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  <w:r/>
          </w:p>
          <w:p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«Обеспечение условий реализации программы и прочие мероприятия»</w:t>
      </w:r>
      <w:r/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622"/>
        <w:gridCol w:w="951"/>
        <w:gridCol w:w="68"/>
        <w:gridCol w:w="681"/>
        <w:gridCol w:w="616"/>
        <w:gridCol w:w="1216"/>
        <w:gridCol w:w="784"/>
        <w:gridCol w:w="1209"/>
        <w:gridCol w:w="90"/>
        <w:gridCol w:w="992"/>
        <w:gridCol w:w="992"/>
        <w:gridCol w:w="1276"/>
        <w:gridCol w:w="2268"/>
      </w:tblGrid>
      <w:tr>
        <w:trPr>
          <w:trHeight w:val="6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Наименование  программы, подпрограммы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trHeight w:val="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очередной финансовый год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первый год планового периода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второй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gridSpan w:val="1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Цель. Создание условий для устойчивого развития отрасли «культура» на территории г. Сосновоборска</w:t>
            </w:r>
            <w:r/>
          </w:p>
        </w:tc>
      </w:tr>
      <w:tr>
        <w:trPr>
          <w:trHeight w:val="300"/>
        </w:trPr>
        <w:tc>
          <w:tcPr>
            <w:gridSpan w:val="1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1.Осуществление контроля за деятельностью подведомственных учреждений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муниципальных органов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0840080210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121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3 909,09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3 009,80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3 009,80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9 928,69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129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1 177,49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908,90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908,90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2 995,29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122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23,90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23,90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59,45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758,86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960,43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778,10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2 497,39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150,30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245,30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245,30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640,90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6 007,39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5 148,33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4 966,00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16 121,72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25"/>
        </w:trPr>
        <w:tc>
          <w:tcPr>
            <w:gridSpan w:val="1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7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0840080620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111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2 186,20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2 186,20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624,67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624,67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321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199,86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199,86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95,00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281,13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281,13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3 386,86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3 386,86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6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Задача 3. Ресурсное обеспечение учреждений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4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111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60 769,48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55 886,60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55 886,60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172 542,68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18 358,46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16 877,90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16 877,90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52 114,26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103,55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106,60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106,60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316,75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2 687,53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2 569,90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2 569,90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7 827,33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0,40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870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Иные межбюджетные трансферы на финансовое обеспечение (возмещение) расходных обязательств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0840010340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111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3 038,20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3 038,20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81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919,83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919,83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85 878,45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75 442,00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75 442,00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236 762,45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7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4. Организация мероприятий</w:t>
            </w:r>
            <w:r/>
          </w:p>
        </w:tc>
      </w:tr>
      <w:tr>
        <w:trPr>
          <w:trHeight w:val="13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Организация торжественно-праздничных мероприятий, посвященных социально-значимым событиям, поздравления юбиляров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0840083130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186,00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558,00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Расходы на реализацию общегородских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0840080330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870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4 950,00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4 950,00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9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5 136,00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5 508,00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подпрограмме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95 458,70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776,33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544,00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261 779,03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567" w:right="851" w:bottom="426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-Medium">
    <w:panose1 w:val="02000000000000000000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8"/>
        <w:szCs w:val="28"/>
        <w:lang w:val="en-US" w:eastAsia="en-US" w:bidi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9"/>
    <w:link w:val="650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9"/>
    <w:link w:val="65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9"/>
    <w:link w:val="652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9"/>
    <w:link w:val="653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9"/>
    <w:link w:val="654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9"/>
    <w:link w:val="655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9"/>
    <w:link w:val="657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9"/>
    <w:link w:val="671"/>
    <w:uiPriority w:val="10"/>
    <w:rPr>
      <w:sz w:val="48"/>
      <w:szCs w:val="48"/>
    </w:rPr>
  </w:style>
  <w:style w:type="character" w:styleId="36">
    <w:name w:val="Subtitle Char"/>
    <w:basedOn w:val="659"/>
    <w:link w:val="673"/>
    <w:uiPriority w:val="11"/>
    <w:rPr>
      <w:sz w:val="24"/>
      <w:szCs w:val="24"/>
    </w:rPr>
  </w:style>
  <w:style w:type="character" w:styleId="38">
    <w:name w:val="Quote Char"/>
    <w:link w:val="679"/>
    <w:uiPriority w:val="29"/>
    <w:rPr>
      <w:i/>
    </w:rPr>
  </w:style>
  <w:style w:type="character" w:styleId="40">
    <w:name w:val="Intense Quote Char"/>
    <w:link w:val="681"/>
    <w:uiPriority w:val="30"/>
    <w:rPr>
      <w:i/>
    </w:rPr>
  </w:style>
  <w:style w:type="character" w:styleId="42">
    <w:name w:val="Header Char"/>
    <w:basedOn w:val="659"/>
    <w:link w:val="703"/>
    <w:uiPriority w:val="99"/>
  </w:style>
  <w:style w:type="character" w:styleId="44">
    <w:name w:val="Footer Char"/>
    <w:basedOn w:val="659"/>
    <w:link w:val="705"/>
    <w:uiPriority w:val="99"/>
  </w:style>
  <w:style w:type="paragraph" w:styleId="45">
    <w:name w:val="Caption"/>
    <w:basedOn w:val="649"/>
    <w:next w:val="6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5"/>
    <w:uiPriority w:val="99"/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4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49"/>
    <w:next w:val="64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9"/>
    <w:next w:val="64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9"/>
    <w:next w:val="64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9"/>
    <w:next w:val="64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9"/>
    <w:next w:val="64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9"/>
    <w:next w:val="64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9"/>
    <w:next w:val="64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9"/>
    <w:next w:val="64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9"/>
    <w:next w:val="649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49"/>
    <w:next w:val="649"/>
    <w:uiPriority w:val="99"/>
    <w:unhideWhenUsed/>
    <w:pPr>
      <w:spacing w:after="0" w:afterAutospacing="0"/>
    </w:pPr>
  </w:style>
  <w:style w:type="paragraph" w:styleId="649" w:default="1">
    <w:name w:val="Normal"/>
    <w:qFormat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650">
    <w:name w:val="Heading 1"/>
    <w:basedOn w:val="649"/>
    <w:next w:val="649"/>
    <w:link w:val="662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51">
    <w:name w:val="Heading 2"/>
    <w:basedOn w:val="649"/>
    <w:next w:val="649"/>
    <w:link w:val="663"/>
    <w:uiPriority w:val="9"/>
    <w:semiHidden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652">
    <w:name w:val="Heading 3"/>
    <w:basedOn w:val="649"/>
    <w:next w:val="649"/>
    <w:link w:val="664"/>
    <w:uiPriority w:val="9"/>
    <w:semiHidden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653">
    <w:name w:val="Heading 4"/>
    <w:basedOn w:val="649"/>
    <w:next w:val="649"/>
    <w:link w:val="665"/>
    <w:uiPriority w:val="9"/>
    <w:semiHidden/>
    <w:unhideWhenUsed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54">
    <w:name w:val="Heading 5"/>
    <w:basedOn w:val="649"/>
    <w:next w:val="649"/>
    <w:link w:val="666"/>
    <w:uiPriority w:val="9"/>
    <w:semiHidden/>
    <w:unhideWhenUsed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55">
    <w:name w:val="Heading 6"/>
    <w:basedOn w:val="649"/>
    <w:next w:val="649"/>
    <w:link w:val="667"/>
    <w:uiPriority w:val="9"/>
    <w:semiHidden/>
    <w:unhideWhenUsed/>
    <w:qFormat/>
    <w:pPr>
      <w:spacing w:before="240" w:after="60"/>
      <w:outlineLvl w:val="5"/>
    </w:pPr>
    <w:rPr>
      <w:rFonts w:cstheme="majorBidi"/>
      <w:b/>
      <w:bCs/>
    </w:rPr>
  </w:style>
  <w:style w:type="paragraph" w:styleId="656">
    <w:name w:val="Heading 7"/>
    <w:basedOn w:val="649"/>
    <w:next w:val="649"/>
    <w:link w:val="668"/>
    <w:uiPriority w:val="9"/>
    <w:semiHidden/>
    <w:unhideWhenUsed/>
    <w:qFormat/>
    <w:pPr>
      <w:spacing w:before="240" w:after="60"/>
      <w:outlineLvl w:val="6"/>
    </w:pPr>
    <w:rPr>
      <w:rFonts w:cstheme="majorBidi"/>
    </w:rPr>
  </w:style>
  <w:style w:type="paragraph" w:styleId="657">
    <w:name w:val="Heading 8"/>
    <w:basedOn w:val="649"/>
    <w:next w:val="649"/>
    <w:link w:val="669"/>
    <w:uiPriority w:val="9"/>
    <w:semiHidden/>
    <w:unhideWhenUsed/>
    <w:qFormat/>
    <w:pPr>
      <w:spacing w:before="240" w:after="60"/>
      <w:outlineLvl w:val="7"/>
    </w:pPr>
    <w:rPr>
      <w:rFonts w:cstheme="majorBidi"/>
      <w:i/>
      <w:iCs/>
    </w:rPr>
  </w:style>
  <w:style w:type="paragraph" w:styleId="658">
    <w:name w:val="Heading 9"/>
    <w:basedOn w:val="649"/>
    <w:next w:val="649"/>
    <w:link w:val="670"/>
    <w:uiPriority w:val="9"/>
    <w:semiHidden/>
    <w:unhideWhenUsed/>
    <w:qFormat/>
    <w:pPr>
      <w:spacing w:before="240" w:after="60"/>
      <w:outlineLvl w:val="8"/>
    </w:pPr>
    <w:rPr>
      <w:rFonts w:asciiTheme="majorHAnsi" w:hAnsiTheme="majorHAnsi" w:eastAsiaTheme="majorEastAsia" w:cstheme="majorBidi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Заголовок 1 Знак"/>
    <w:basedOn w:val="659"/>
    <w:link w:val="65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63" w:customStyle="1">
    <w:name w:val="Заголовок 2 Знак"/>
    <w:basedOn w:val="659"/>
    <w:link w:val="651"/>
    <w:uiPriority w:val="9"/>
    <w:semiHidden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664" w:customStyle="1">
    <w:name w:val="Заголовок 3 Знак"/>
    <w:basedOn w:val="659"/>
    <w:link w:val="65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665" w:customStyle="1">
    <w:name w:val="Заголовок 4 Знак"/>
    <w:basedOn w:val="659"/>
    <w:link w:val="653"/>
    <w:uiPriority w:val="9"/>
    <w:semiHidden/>
    <w:rPr>
      <w:rFonts w:cstheme="majorBidi"/>
      <w:b/>
      <w:bCs/>
      <w:sz w:val="28"/>
      <w:szCs w:val="28"/>
    </w:rPr>
  </w:style>
  <w:style w:type="character" w:styleId="666" w:customStyle="1">
    <w:name w:val="Заголовок 5 Знак"/>
    <w:basedOn w:val="659"/>
    <w:link w:val="654"/>
    <w:uiPriority w:val="9"/>
    <w:semiHidden/>
    <w:rPr>
      <w:rFonts w:cstheme="majorBidi"/>
      <w:b/>
      <w:bCs/>
      <w:i/>
      <w:iCs/>
      <w:sz w:val="26"/>
      <w:szCs w:val="26"/>
    </w:rPr>
  </w:style>
  <w:style w:type="character" w:styleId="667" w:customStyle="1">
    <w:name w:val="Заголовок 6 Знак"/>
    <w:basedOn w:val="659"/>
    <w:link w:val="655"/>
    <w:uiPriority w:val="9"/>
    <w:semiHidden/>
    <w:rPr>
      <w:rFonts w:cstheme="majorBidi"/>
      <w:b/>
      <w:bCs/>
    </w:rPr>
  </w:style>
  <w:style w:type="character" w:styleId="668" w:customStyle="1">
    <w:name w:val="Заголовок 7 Знак"/>
    <w:basedOn w:val="659"/>
    <w:link w:val="656"/>
    <w:uiPriority w:val="9"/>
    <w:semiHidden/>
    <w:rPr>
      <w:rFonts w:cstheme="majorBidi"/>
      <w:sz w:val="24"/>
      <w:szCs w:val="24"/>
    </w:rPr>
  </w:style>
  <w:style w:type="character" w:styleId="669" w:customStyle="1">
    <w:name w:val="Заголовок 8 Знак"/>
    <w:basedOn w:val="659"/>
    <w:link w:val="657"/>
    <w:uiPriority w:val="9"/>
    <w:semiHidden/>
    <w:rPr>
      <w:rFonts w:cstheme="majorBidi"/>
      <w:i/>
      <w:iCs/>
      <w:sz w:val="24"/>
      <w:szCs w:val="24"/>
    </w:rPr>
  </w:style>
  <w:style w:type="character" w:styleId="670" w:customStyle="1">
    <w:name w:val="Заголовок 9 Знак"/>
    <w:basedOn w:val="659"/>
    <w:link w:val="658"/>
    <w:uiPriority w:val="9"/>
    <w:semiHidden/>
    <w:rPr>
      <w:rFonts w:asciiTheme="majorHAnsi" w:hAnsiTheme="majorHAnsi" w:eastAsiaTheme="majorEastAsia" w:cstheme="majorBidi"/>
    </w:rPr>
  </w:style>
  <w:style w:type="paragraph" w:styleId="671">
    <w:name w:val="Title"/>
    <w:basedOn w:val="649"/>
    <w:next w:val="649"/>
    <w:link w:val="672"/>
    <w:uiPriority w:val="10"/>
    <w:qFormat/>
    <w:pPr>
      <w:jc w:val="center"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72" w:customStyle="1">
    <w:name w:val="Заголовок Знак"/>
    <w:basedOn w:val="659"/>
    <w:link w:val="671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73">
    <w:name w:val="Subtitle"/>
    <w:basedOn w:val="649"/>
    <w:next w:val="649"/>
    <w:link w:val="674"/>
    <w:uiPriority w:val="11"/>
    <w:qFormat/>
    <w:pPr>
      <w:jc w:val="center"/>
      <w:spacing w:after="60"/>
      <w:outlineLvl w:val="1"/>
    </w:pPr>
    <w:rPr>
      <w:rFonts w:asciiTheme="majorHAnsi" w:hAnsiTheme="majorHAnsi" w:eastAsiaTheme="majorEastAsia" w:cstheme="majorBidi"/>
    </w:rPr>
  </w:style>
  <w:style w:type="character" w:styleId="674" w:customStyle="1">
    <w:name w:val="Подзаголовок Знак"/>
    <w:basedOn w:val="659"/>
    <w:link w:val="673"/>
    <w:uiPriority w:val="11"/>
    <w:rPr>
      <w:rFonts w:asciiTheme="majorHAnsi" w:hAnsiTheme="majorHAnsi" w:eastAsiaTheme="majorEastAsia" w:cstheme="majorBidi"/>
      <w:sz w:val="24"/>
      <w:szCs w:val="24"/>
    </w:rPr>
  </w:style>
  <w:style w:type="character" w:styleId="675">
    <w:name w:val="Strong"/>
    <w:basedOn w:val="659"/>
    <w:uiPriority w:val="22"/>
    <w:qFormat/>
    <w:rPr>
      <w:b/>
      <w:bCs/>
    </w:rPr>
  </w:style>
  <w:style w:type="character" w:styleId="676">
    <w:name w:val="Emphasis"/>
    <w:basedOn w:val="659"/>
    <w:uiPriority w:val="20"/>
    <w:qFormat/>
    <w:rPr>
      <w:rFonts w:asciiTheme="minorHAnsi" w:hAnsiTheme="minorHAnsi"/>
      <w:b/>
      <w:i/>
      <w:iCs/>
    </w:rPr>
  </w:style>
  <w:style w:type="paragraph" w:styleId="677">
    <w:name w:val="No Spacing"/>
    <w:basedOn w:val="649"/>
    <w:uiPriority w:val="1"/>
    <w:qFormat/>
    <w:rPr>
      <w:szCs w:val="32"/>
    </w:rPr>
  </w:style>
  <w:style w:type="paragraph" w:styleId="678">
    <w:name w:val="List Paragraph"/>
    <w:basedOn w:val="649"/>
    <w:uiPriority w:val="34"/>
    <w:qFormat/>
    <w:pPr>
      <w:contextualSpacing/>
      <w:ind w:left="720"/>
    </w:pPr>
  </w:style>
  <w:style w:type="paragraph" w:styleId="679">
    <w:name w:val="Quote"/>
    <w:basedOn w:val="649"/>
    <w:next w:val="649"/>
    <w:link w:val="680"/>
    <w:uiPriority w:val="29"/>
    <w:qFormat/>
    <w:rPr>
      <w:i/>
    </w:rPr>
  </w:style>
  <w:style w:type="character" w:styleId="680" w:customStyle="1">
    <w:name w:val="Цитата 2 Знак"/>
    <w:basedOn w:val="659"/>
    <w:link w:val="679"/>
    <w:uiPriority w:val="29"/>
    <w:rPr>
      <w:i/>
      <w:sz w:val="24"/>
      <w:szCs w:val="24"/>
    </w:rPr>
  </w:style>
  <w:style w:type="paragraph" w:styleId="681">
    <w:name w:val="Intense Quote"/>
    <w:basedOn w:val="649"/>
    <w:next w:val="649"/>
    <w:link w:val="682"/>
    <w:uiPriority w:val="30"/>
    <w:qFormat/>
    <w:pPr>
      <w:ind w:left="720" w:right="720"/>
    </w:pPr>
    <w:rPr>
      <w:b/>
      <w:i/>
    </w:rPr>
  </w:style>
  <w:style w:type="character" w:styleId="682" w:customStyle="1">
    <w:name w:val="Выделенная цитата Знак"/>
    <w:basedOn w:val="659"/>
    <w:link w:val="681"/>
    <w:uiPriority w:val="30"/>
    <w:rPr>
      <w:b/>
      <w:i/>
      <w:sz w:val="24"/>
    </w:rPr>
  </w:style>
  <w:style w:type="character" w:styleId="683">
    <w:name w:val="Subtle Emphasis"/>
    <w:uiPriority w:val="19"/>
    <w:qFormat/>
    <w:rPr>
      <w:i/>
      <w:color w:val="5a5a5a" w:themeColor="text1" w:themeTint="A5"/>
    </w:rPr>
  </w:style>
  <w:style w:type="character" w:styleId="684">
    <w:name w:val="Intense Emphasis"/>
    <w:basedOn w:val="659"/>
    <w:uiPriority w:val="21"/>
    <w:qFormat/>
    <w:rPr>
      <w:b/>
      <w:i/>
      <w:sz w:val="24"/>
      <w:szCs w:val="24"/>
      <w:u w:val="single"/>
    </w:rPr>
  </w:style>
  <w:style w:type="character" w:styleId="685">
    <w:name w:val="Subtle Reference"/>
    <w:basedOn w:val="659"/>
    <w:uiPriority w:val="31"/>
    <w:qFormat/>
    <w:rPr>
      <w:sz w:val="24"/>
      <w:szCs w:val="24"/>
      <w:u w:val="single"/>
    </w:rPr>
  </w:style>
  <w:style w:type="character" w:styleId="686">
    <w:name w:val="Intense Reference"/>
    <w:basedOn w:val="659"/>
    <w:uiPriority w:val="32"/>
    <w:qFormat/>
    <w:rPr>
      <w:b/>
      <w:sz w:val="24"/>
      <w:u w:val="single"/>
    </w:rPr>
  </w:style>
  <w:style w:type="character" w:styleId="687">
    <w:name w:val="Book Title"/>
    <w:basedOn w:val="659"/>
    <w:uiPriority w:val="33"/>
    <w:qFormat/>
    <w:rPr>
      <w:rFonts w:asciiTheme="majorHAnsi" w:hAnsiTheme="majorHAnsi" w:eastAsiaTheme="majorEastAsia"/>
      <w:b/>
      <w:i/>
      <w:sz w:val="24"/>
      <w:szCs w:val="24"/>
    </w:rPr>
  </w:style>
  <w:style w:type="paragraph" w:styleId="688">
    <w:name w:val="TOC Heading"/>
    <w:basedOn w:val="650"/>
    <w:next w:val="649"/>
    <w:uiPriority w:val="39"/>
    <w:semiHidden/>
    <w:unhideWhenUsed/>
    <w:qFormat/>
    <w:pPr>
      <w:outlineLvl w:val="9"/>
    </w:pPr>
  </w:style>
  <w:style w:type="paragraph" w:styleId="689">
    <w:name w:val="Balloon Text"/>
    <w:basedOn w:val="649"/>
    <w:link w:val="69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90" w:customStyle="1">
    <w:name w:val="Текст выноски Знак"/>
    <w:basedOn w:val="659"/>
    <w:link w:val="689"/>
    <w:uiPriority w:val="99"/>
    <w:semiHidden/>
    <w:rPr>
      <w:rFonts w:ascii="Tahoma" w:hAnsi="Tahoma" w:cs="Tahoma" w:eastAsiaTheme="minorEastAsia"/>
      <w:sz w:val="16"/>
      <w:szCs w:val="16"/>
      <w:lang w:val="ru-RU" w:eastAsia="ru-RU" w:bidi="ar-SA"/>
    </w:rPr>
  </w:style>
  <w:style w:type="character" w:styleId="691" w:customStyle="1">
    <w:name w:val="Основной текст Знак"/>
    <w:basedOn w:val="659"/>
    <w:link w:val="692"/>
    <w:uiPriority w:val="99"/>
    <w:semiHidden/>
    <w:rPr>
      <w:rFonts w:ascii="Calibri" w:hAnsi="Calibri" w:eastAsia="Times New Roman"/>
      <w:sz w:val="22"/>
      <w:szCs w:val="22"/>
      <w:lang w:val="ru-RU" w:eastAsia="ru-RU" w:bidi="ar-SA"/>
    </w:rPr>
  </w:style>
  <w:style w:type="paragraph" w:styleId="692">
    <w:name w:val="Body Text"/>
    <w:basedOn w:val="649"/>
    <w:link w:val="691"/>
    <w:uiPriority w:val="99"/>
    <w:semiHidden/>
    <w:unhideWhenUsed/>
    <w:pPr>
      <w:spacing w:after="120"/>
    </w:pPr>
    <w:rPr>
      <w:rFonts w:ascii="Calibri" w:hAnsi="Calibri" w:eastAsia="Times New Roman" w:cs="Times New Roman"/>
    </w:rPr>
  </w:style>
  <w:style w:type="paragraph" w:styleId="693">
    <w:name w:val="Body Text Indent 3"/>
    <w:basedOn w:val="649"/>
    <w:link w:val="694"/>
    <w:semiHidden/>
    <w:unhideWhenUsed/>
    <w:pPr>
      <w:ind w:left="283"/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character" w:styleId="694" w:customStyle="1">
    <w:name w:val="Основной текст с отступом 3 Знак"/>
    <w:basedOn w:val="659"/>
    <w:link w:val="693"/>
    <w:semiHidden/>
    <w:rPr>
      <w:rFonts w:eastAsia="Times New Roman"/>
      <w:sz w:val="16"/>
      <w:szCs w:val="16"/>
      <w:lang w:val="ru-RU" w:eastAsia="ru-RU" w:bidi="ar-SA"/>
    </w:rPr>
  </w:style>
  <w:style w:type="paragraph" w:styleId="695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696" w:customStyle="1">
    <w:name w:val="ConsPlusNormal"/>
    <w:uiPriority w:val="99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697" w:customStyle="1">
    <w:name w:val="ConsPlusCell"/>
    <w:uiPriority w:val="99"/>
    <w:pPr>
      <w:spacing w:after="0" w:line="240" w:lineRule="auto"/>
      <w:widowControl w:val="off"/>
    </w:pPr>
    <w:rPr>
      <w:rFonts w:eastAsia="Times New Roman"/>
      <w:sz w:val="24"/>
      <w:szCs w:val="24"/>
      <w:lang w:val="ru-RU" w:eastAsia="ru-RU" w:bidi="ar-SA"/>
    </w:rPr>
  </w:style>
  <w:style w:type="paragraph" w:styleId="698" w:customStyle="1">
    <w:name w:val="Знак"/>
    <w:basedOn w:val="649"/>
    <w:pPr>
      <w:jc w:val="both"/>
      <w:spacing w:after="0" w:line="360" w:lineRule="atLeast"/>
      <w:widowControl w:val="off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699" w:customStyle="1">
    <w:name w:val="Default"/>
    <w:pPr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700">
    <w:name w:val="Table Grid"/>
    <w:basedOn w:val="66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01">
    <w:name w:val="Hyperlink"/>
    <w:basedOn w:val="659"/>
    <w:uiPriority w:val="99"/>
    <w:semiHidden/>
    <w:unhideWhenUsed/>
    <w:rPr>
      <w:color w:val="0000ff"/>
      <w:u w:val="single"/>
    </w:rPr>
  </w:style>
  <w:style w:type="character" w:styleId="702">
    <w:name w:val="FollowedHyperlink"/>
    <w:basedOn w:val="659"/>
    <w:uiPriority w:val="99"/>
    <w:semiHidden/>
    <w:unhideWhenUsed/>
    <w:rPr>
      <w:color w:val="800080" w:themeColor="followedHyperlink"/>
      <w:u w:val="single"/>
    </w:rPr>
  </w:style>
  <w:style w:type="paragraph" w:styleId="703">
    <w:name w:val="Header"/>
    <w:basedOn w:val="649"/>
    <w:link w:val="70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4" w:customStyle="1">
    <w:name w:val="Верхний колонтитул Знак"/>
    <w:basedOn w:val="659"/>
    <w:link w:val="703"/>
    <w:uiPriority w:val="99"/>
    <w:semiHidden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705">
    <w:name w:val="Footer"/>
    <w:basedOn w:val="649"/>
    <w:link w:val="7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6" w:customStyle="1">
    <w:name w:val="Нижний колонтитул Знак"/>
    <w:basedOn w:val="659"/>
    <w:link w:val="705"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67B3008-F36E-49A3-979B-FCF45454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4</cp:revision>
  <dcterms:created xsi:type="dcterms:W3CDTF">2023-02-06T07:45:00Z</dcterms:created>
  <dcterms:modified xsi:type="dcterms:W3CDTF">2023-02-07T03:12:53Z</dcterms:modified>
</cp:coreProperties>
</file>