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781"/>
      </w:tblGrid>
      <w:tr>
        <w:trPr>
          <w:trHeight w:val="38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keepNext/>
              <w:tabs>
                <w:tab w:val="num" w:pos="0" w:leader="none"/>
              </w:tabs>
              <w:rPr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07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07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  <w:lang w:eastAsia="zh-CN"/>
              </w:rPr>
            </w:r>
            <w:r/>
          </w:p>
          <w:p>
            <w:pPr>
              <w:pStyle w:val="695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</w:r>
            <w:r/>
          </w:p>
          <w:p>
            <w:pPr>
              <w:pStyle w:val="695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r>
            <w:r/>
          </w:p>
          <w:p>
            <w:pPr>
              <w:pStyle w:val="695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95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95"/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>
              <w:rPr>
                <w:lang w:eastAsia="zh-CN"/>
              </w:rPr>
            </w:r>
            <w:r/>
          </w:p>
          <w:p>
            <w:pPr>
              <w:pStyle w:val="695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</w:r>
            <w:r/>
          </w:p>
          <w:p>
            <w:pPr>
              <w:pStyle w:val="695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695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pStyle w:val="695"/>
              <w:ind w:left="-113" w:hanging="103"/>
              <w:rPr>
                <w:lang w:eastAsia="zh-CN"/>
              </w:rPr>
            </w:pPr>
            <w:r>
              <w:rPr>
                <w:lang w:eastAsia="zh-CN"/>
              </w:rPr>
              <w:t xml:space="preserve">  26 января 2024                                                                                                                   №114</w:t>
            </w:r>
            <w:r/>
          </w:p>
          <w:p>
            <w:pPr>
              <w:pStyle w:val="695"/>
            </w:pPr>
            <w:r/>
            <w:r/>
          </w:p>
        </w:tc>
      </w:tr>
    </w:tbl>
    <w:p>
      <w:pPr>
        <w:pStyle w:val="695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529"/>
        <w:gridCol w:w="397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от </w:t>
            </w: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.201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 xml:space="preserve">Положения об оплате труда руководителей муниципальных автономных образовательных учреждений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подведомственных 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правлению образования администрации города Сосновоборска»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5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/>
            <w:r/>
          </w:p>
        </w:tc>
      </w:tr>
    </w:tbl>
    <w:p>
      <w:pPr>
        <w:pStyle w:val="69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5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5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соответствии с</w:t>
      </w:r>
      <w:r>
        <w:rPr>
          <w:sz w:val="27"/>
          <w:szCs w:val="27"/>
        </w:rPr>
        <w:t xml:space="preserve">о статьей </w:t>
      </w:r>
      <w:r>
        <w:rPr>
          <w:sz w:val="27"/>
          <w:szCs w:val="27"/>
        </w:rPr>
        <w:t xml:space="preserve">135, </w:t>
      </w:r>
      <w:r>
        <w:rPr>
          <w:sz w:val="27"/>
          <w:szCs w:val="27"/>
        </w:rPr>
        <w:t xml:space="preserve">144</w:t>
      </w:r>
      <w:r>
        <w:rPr>
          <w:sz w:val="27"/>
          <w:szCs w:val="27"/>
        </w:rPr>
        <w:t xml:space="preserve"> Трудов</w:t>
      </w:r>
      <w:r>
        <w:rPr>
          <w:sz w:val="27"/>
          <w:szCs w:val="27"/>
        </w:rPr>
        <w:t xml:space="preserve">ого</w:t>
      </w:r>
      <w:r>
        <w:rPr>
          <w:sz w:val="27"/>
          <w:szCs w:val="27"/>
        </w:rPr>
        <w:t xml:space="preserve"> кодекс</w:t>
      </w:r>
      <w:r>
        <w:rPr>
          <w:sz w:val="27"/>
          <w:szCs w:val="27"/>
        </w:rPr>
        <w:t xml:space="preserve">а</w:t>
      </w:r>
      <w:r>
        <w:rPr>
          <w:sz w:val="27"/>
          <w:szCs w:val="27"/>
        </w:rPr>
        <w:t xml:space="preserve"> Российской Федерации, решением Сосновоборского городского Совета депутатов от 21.12.2016 № 15/64-р «О системах оплаты труда работников муниципальных учреждений города Сосновоборска»</w:t>
      </w:r>
      <w:r>
        <w:rPr>
          <w:rFonts w:eastAsia="Calibri"/>
          <w:sz w:val="27"/>
          <w:szCs w:val="27"/>
        </w:rPr>
        <w:t xml:space="preserve"> </w:t>
      </w:r>
      <w:r>
        <w:rPr>
          <w:sz w:val="27"/>
          <w:szCs w:val="27"/>
        </w:rPr>
        <w:t xml:space="preserve">руководствуясь </w:t>
      </w:r>
      <w:r>
        <w:rPr>
          <w:sz w:val="27"/>
          <w:szCs w:val="27"/>
        </w:rPr>
        <w:t xml:space="preserve">ст. ст. 26, 38 </w:t>
      </w:r>
      <w:r>
        <w:rPr>
          <w:sz w:val="27"/>
          <w:szCs w:val="27"/>
        </w:rPr>
        <w:t xml:space="preserve">Устав</w:t>
      </w:r>
      <w:r>
        <w:rPr>
          <w:sz w:val="27"/>
          <w:szCs w:val="27"/>
        </w:rPr>
        <w:t xml:space="preserve">а</w:t>
      </w:r>
      <w:r>
        <w:rPr>
          <w:sz w:val="27"/>
          <w:szCs w:val="27"/>
        </w:rPr>
        <w:t xml:space="preserve"> города</w:t>
      </w:r>
      <w:r>
        <w:rPr>
          <w:sz w:val="27"/>
          <w:szCs w:val="27"/>
        </w:rPr>
        <w:t xml:space="preserve"> Сосновоборска Красноярского края</w:t>
      </w:r>
      <w:r>
        <w:rPr>
          <w:sz w:val="27"/>
          <w:szCs w:val="27"/>
        </w:rPr>
        <w:t xml:space="preserve">,</w:t>
      </w:r>
      <w:r>
        <w:rPr>
          <w:rFonts w:eastAsia="Calibri"/>
          <w:sz w:val="27"/>
          <w:szCs w:val="27"/>
        </w:rPr>
      </w:r>
      <w:r/>
    </w:p>
    <w:p>
      <w:pPr>
        <w:pStyle w:val="695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ПОСТАНОВЛЯЮ</w:t>
      </w:r>
      <w:r/>
    </w:p>
    <w:p>
      <w:pPr>
        <w:pStyle w:val="695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  <w:r/>
    </w:p>
    <w:p>
      <w:pPr>
        <w:pStyle w:val="695"/>
        <w:numPr>
          <w:ilvl w:val="0"/>
          <w:numId w:val="4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постановление администрации города от </w:t>
      </w:r>
      <w:r>
        <w:rPr>
          <w:sz w:val="27"/>
          <w:szCs w:val="27"/>
        </w:rPr>
        <w:t xml:space="preserve">16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  <w:t xml:space="preserve">0</w:t>
      </w:r>
      <w:r>
        <w:rPr>
          <w:sz w:val="27"/>
          <w:szCs w:val="27"/>
        </w:rPr>
        <w:t xml:space="preserve">5</w:t>
      </w:r>
      <w:r>
        <w:rPr>
          <w:sz w:val="27"/>
          <w:szCs w:val="27"/>
        </w:rPr>
        <w:t xml:space="preserve">.201</w:t>
      </w:r>
      <w:r>
        <w:rPr>
          <w:sz w:val="27"/>
          <w:szCs w:val="27"/>
        </w:rPr>
        <w:t xml:space="preserve">7</w:t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615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Об </w:t>
      </w:r>
      <w:r>
        <w:rPr>
          <w:sz w:val="27"/>
          <w:szCs w:val="27"/>
        </w:rPr>
        <w:t xml:space="preserve">утверждении Положения об оплате труда руководителей муниципальных автономных образовательных учреждений, подведомственных управлению образования администрации города Сосновоборска</w:t>
      </w:r>
      <w:r>
        <w:rPr>
          <w:sz w:val="27"/>
          <w:szCs w:val="27"/>
        </w:rPr>
        <w:t xml:space="preserve">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(далее – Положение) </w:t>
      </w:r>
      <w:r>
        <w:rPr>
          <w:sz w:val="27"/>
          <w:szCs w:val="27"/>
        </w:rPr>
        <w:t xml:space="preserve">следующ</w:t>
      </w:r>
      <w:r>
        <w:rPr>
          <w:sz w:val="27"/>
          <w:szCs w:val="27"/>
        </w:rPr>
        <w:t xml:space="preserve">и</w:t>
      </w:r>
      <w:r>
        <w:rPr>
          <w:sz w:val="27"/>
          <w:szCs w:val="27"/>
        </w:rPr>
        <w:t xml:space="preserve">е изменени</w:t>
      </w:r>
      <w:r>
        <w:rPr>
          <w:sz w:val="27"/>
          <w:szCs w:val="27"/>
        </w:rPr>
        <w:t xml:space="preserve">я</w:t>
      </w:r>
      <w:r>
        <w:rPr>
          <w:sz w:val="27"/>
          <w:szCs w:val="27"/>
        </w:rPr>
        <w:t xml:space="preserve">:</w:t>
      </w:r>
      <w:r/>
    </w:p>
    <w:p>
      <w:pPr>
        <w:pStyle w:val="695"/>
        <w:numPr>
          <w:ilvl w:val="1"/>
          <w:numId w:val="42"/>
        </w:numPr>
        <w:ind w:left="0" w:firstLine="567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Пункт 4.1 раздела 4 приложения к Положению дополнить абзацем 5 следующего содержания «специальная краевая выплата».</w:t>
      </w:r>
      <w:r>
        <w:rPr>
          <w:sz w:val="27"/>
          <w:szCs w:val="27"/>
        </w:rPr>
      </w:r>
      <w:r/>
    </w:p>
    <w:p>
      <w:pPr>
        <w:pStyle w:val="695"/>
        <w:numPr>
          <w:ilvl w:val="1"/>
          <w:numId w:val="42"/>
        </w:numPr>
        <w:ind w:left="0" w:firstLine="567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В пункте 4.2 раздела 4 приложения к Положению слова «составляет 45 должностных окладов» изложить в новой редакции «составляет 50 должностных окладов».</w:t>
      </w:r>
      <w:r/>
    </w:p>
    <w:p>
      <w:pPr>
        <w:pStyle w:val="695"/>
        <w:numPr>
          <w:ilvl w:val="1"/>
          <w:numId w:val="42"/>
        </w:numPr>
        <w:ind w:left="0" w:firstLine="567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Р</w:t>
      </w:r>
      <w:r>
        <w:rPr>
          <w:sz w:val="27"/>
          <w:szCs w:val="27"/>
        </w:rPr>
        <w:t xml:space="preserve">аздела 4 приложения к Положению </w:t>
      </w:r>
      <w:r>
        <w:rPr>
          <w:sz w:val="27"/>
          <w:szCs w:val="27"/>
        </w:rPr>
        <w:t xml:space="preserve">дополнить</w:t>
      </w:r>
      <w:r>
        <w:rPr>
          <w:sz w:val="27"/>
          <w:szCs w:val="27"/>
        </w:rPr>
        <w:t xml:space="preserve"> пункт</w:t>
      </w:r>
      <w:r>
        <w:rPr>
          <w:sz w:val="27"/>
          <w:szCs w:val="27"/>
        </w:rPr>
        <w:t xml:space="preserve">о</w:t>
      </w:r>
      <w:r>
        <w:rPr>
          <w:sz w:val="27"/>
          <w:szCs w:val="27"/>
        </w:rPr>
        <w:t xml:space="preserve">м 4.</w:t>
      </w:r>
      <w:r>
        <w:rPr>
          <w:sz w:val="27"/>
          <w:szCs w:val="27"/>
        </w:rPr>
        <w:t xml:space="preserve">8. </w:t>
      </w:r>
      <w:r>
        <w:rPr>
          <w:sz w:val="27"/>
          <w:szCs w:val="27"/>
        </w:rPr>
        <w:t xml:space="preserve">следующего содержания:</w:t>
      </w:r>
      <w:r/>
    </w:p>
    <w:p>
      <w:pPr>
        <w:pStyle w:val="695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«Специальная краевая выплата устанавливается в целях повышения уровня оплаты труда руководителя учреждения.</w:t>
      </w:r>
      <w:r>
        <w:rPr>
          <w:sz w:val="27"/>
          <w:szCs w:val="27"/>
        </w:rPr>
      </w:r>
      <w:r/>
    </w:p>
    <w:p>
      <w:pPr>
        <w:pStyle w:val="695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  <w:r>
        <w:rPr>
          <w:sz w:val="27"/>
          <w:szCs w:val="27"/>
        </w:rPr>
      </w:r>
      <w:r/>
    </w:p>
    <w:p>
      <w:pPr>
        <w:pStyle w:val="695"/>
        <w:numPr>
          <w:ilvl w:val="0"/>
          <w:numId w:val="49"/>
        </w:numPr>
        <w:ind w:left="0" w:firstLine="567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Р</w:t>
      </w:r>
      <w:r>
        <w:rPr>
          <w:sz w:val="27"/>
          <w:szCs w:val="27"/>
        </w:rPr>
        <w:t xml:space="preserve">уководителю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</w:t>
      </w:r>
      <w:r>
        <w:rPr>
          <w:sz w:val="27"/>
          <w:szCs w:val="27"/>
        </w:rPr>
      </w:r>
      <w:r/>
    </w:p>
    <w:p>
      <w:pPr>
        <w:pStyle w:val="695"/>
        <w:numPr>
          <w:ilvl w:val="0"/>
          <w:numId w:val="49"/>
        </w:numPr>
        <w:ind w:left="0" w:firstLine="567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Руководителю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  <w:r>
        <w:rPr>
          <w:sz w:val="27"/>
          <w:szCs w:val="27"/>
        </w:rPr>
      </w:r>
      <w:r/>
    </w:p>
    <w:p>
      <w:pPr>
        <w:pStyle w:val="695"/>
        <w:numPr>
          <w:ilvl w:val="0"/>
          <w:numId w:val="49"/>
        </w:numPr>
        <w:ind w:left="0" w:firstLine="567"/>
        <w:jc w:val="both"/>
        <w:tabs>
          <w:tab w:val="left" w:pos="-3261" w:leader="none"/>
        </w:tabs>
      </w:pPr>
      <w:r>
        <w:rPr>
          <w:sz w:val="27"/>
          <w:szCs w:val="27"/>
        </w:rPr>
        <w:t xml:space="preserve">В месяце, в котором производятся начисления исходя из средней заработной платы,</w:t>
      </w:r>
      <w:r>
        <w:rPr>
          <w:sz w:val="27"/>
          <w:szCs w:val="27"/>
        </w:rPr>
        <w:t xml:space="preserve">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 увеличивается.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Размер увеличения, рассчитываемый по формуле: 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bCs/>
          <w:i/>
          <w:iCs/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СКВув = Отп x Кув – Отп, (1)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где: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СКВув</w:t>
      </w:r>
      <w:r>
        <w:rPr>
          <w:sz w:val="27"/>
          <w:szCs w:val="27"/>
        </w:rPr>
        <w:t xml:space="preserve"> – ра</w:t>
      </w:r>
      <w:r>
        <w:rPr>
          <w:sz w:val="27"/>
          <w:szCs w:val="27"/>
        </w:rPr>
        <w:t xml:space="preserve">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Отп</w:t>
      </w:r>
      <w:r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Кув</w:t>
      </w:r>
      <w:r>
        <w:rPr>
          <w:sz w:val="27"/>
          <w:szCs w:val="27"/>
        </w:rPr>
        <w:t xml:space="preserve"> – коэффициент увеличения специальной краевой выплаты.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r>
        <w:rPr>
          <w:bCs/>
          <w:i/>
          <w:iCs/>
          <w:sz w:val="27"/>
          <w:szCs w:val="27"/>
        </w:rPr>
        <w:t xml:space="preserve">Кув</w:t>
      </w:r>
      <w:r>
        <w:rPr>
          <w:sz w:val="27"/>
          <w:szCs w:val="27"/>
        </w:rPr>
        <w:t xml:space="preserve"> определяется следующим образом:</w:t>
      </w:r>
      <w:r/>
    </w:p>
    <w:p>
      <w:pPr>
        <w:pStyle w:val="695"/>
        <w:jc w:val="both"/>
        <w:tabs>
          <w:tab w:val="left" w:pos="-3261" w:leader="none"/>
        </w:tabs>
        <w:rPr>
          <w:bCs/>
          <w:i/>
          <w:iCs/>
          <w:sz w:val="27"/>
          <w:szCs w:val="27"/>
        </w:rPr>
      </w:pPr>
      <w:r>
        <w:rPr>
          <w:bCs/>
          <w:i/>
          <w:iCs/>
          <w:sz w:val="27"/>
          <w:szCs w:val="27"/>
        </w:rPr>
        <w:tab/>
      </w:r>
      <w:r>
        <w:rPr>
          <w:bCs/>
          <w:i/>
          <w:iCs/>
          <w:sz w:val="27"/>
          <w:szCs w:val="27"/>
        </w:rPr>
        <w:t xml:space="preserve">Кув = (Зпф1 + (СКВ х Кмес х Крк) + Зпф2) / (Зпф1 + Зпф2), (2)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где: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Зпф1</w:t>
      </w:r>
      <w:r>
        <w:rPr>
          <w:sz w:val="27"/>
          <w:szCs w:val="27"/>
        </w:rPr>
        <w:t xml:space="preserve"> – фактически начисленная заработная плата руководителя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Зпф2</w:t>
      </w:r>
      <w:r>
        <w:rPr>
          <w:sz w:val="27"/>
          <w:szCs w:val="27"/>
        </w:rPr>
        <w:t xml:space="preserve"> – фактически начисленная заработная плата руководителя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СКВ</w:t>
      </w:r>
      <w:r>
        <w:rPr>
          <w:sz w:val="27"/>
          <w:szCs w:val="27"/>
        </w:rPr>
        <w:t xml:space="preserve"> – специальная краевая выплата;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Кмес</w:t>
      </w:r>
      <w:r>
        <w:rPr>
          <w:sz w:val="27"/>
          <w:szCs w:val="27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pStyle w:val="695"/>
        <w:ind w:firstLine="709"/>
        <w:jc w:val="both"/>
        <w:tabs>
          <w:tab w:val="left" w:pos="-3261" w:leader="none"/>
        </w:tabs>
        <w:rPr>
          <w:sz w:val="27"/>
          <w:szCs w:val="27"/>
        </w:rPr>
      </w:pPr>
      <w:r>
        <w:rPr>
          <w:bCs/>
          <w:i/>
          <w:iCs/>
          <w:sz w:val="27"/>
          <w:szCs w:val="27"/>
        </w:rPr>
        <w:t xml:space="preserve">Крк </w:t>
      </w:r>
      <w:r>
        <w:rPr>
          <w:sz w:val="27"/>
          <w:szCs w:val="27"/>
        </w:rPr>
        <w:t xml:space="preserve">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pStyle w:val="695"/>
        <w:numPr>
          <w:ilvl w:val="0"/>
          <w:numId w:val="42"/>
        </w:numPr>
        <w:ind w:left="0" w:firstLine="567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Настоящее </w:t>
      </w:r>
      <w:r>
        <w:rPr>
          <w:sz w:val="27"/>
          <w:szCs w:val="27"/>
        </w:rPr>
        <w:t xml:space="preserve">П</w:t>
      </w:r>
      <w:r>
        <w:rPr>
          <w:sz w:val="27"/>
          <w:szCs w:val="27"/>
        </w:rPr>
        <w:t xml:space="preserve">оложение вступает в силу в день, следующий за днем его официального </w:t>
      </w:r>
      <w:r>
        <w:rPr>
          <w:sz w:val="27"/>
          <w:szCs w:val="27"/>
        </w:rPr>
        <w:t xml:space="preserve">опубликован</w:t>
      </w:r>
      <w:r>
        <w:rPr>
          <w:sz w:val="27"/>
          <w:szCs w:val="27"/>
        </w:rPr>
        <w:t xml:space="preserve">ия в городской газете «Рабочий»</w:t>
      </w:r>
      <w:r>
        <w:rPr>
          <w:sz w:val="27"/>
          <w:szCs w:val="27"/>
        </w:rPr>
        <w:t xml:space="preserve">, и распространяется на правоотношения, возникшие с</w:t>
      </w:r>
      <w:r>
        <w:rPr>
          <w:sz w:val="27"/>
          <w:szCs w:val="27"/>
        </w:rPr>
        <w:t xml:space="preserve"> 01.0</w:t>
      </w:r>
      <w:r>
        <w:rPr>
          <w:sz w:val="27"/>
          <w:szCs w:val="27"/>
        </w:rPr>
        <w:t xml:space="preserve">1</w:t>
      </w:r>
      <w:r>
        <w:rPr>
          <w:sz w:val="27"/>
          <w:szCs w:val="27"/>
        </w:rPr>
        <w:t xml:space="preserve">.202</w:t>
      </w:r>
      <w:r>
        <w:rPr>
          <w:sz w:val="27"/>
          <w:szCs w:val="27"/>
        </w:rPr>
        <w:t xml:space="preserve">4</w:t>
      </w:r>
      <w:r>
        <w:rPr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pStyle w:val="695"/>
        <w:numPr>
          <w:ilvl w:val="0"/>
          <w:numId w:val="42"/>
        </w:numPr>
        <w:ind w:left="0" w:firstLine="567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Подпункт «в» пункта 4.8. приложения к Положению действует до 31.12.2024.</w:t>
      </w:r>
      <w:r/>
    </w:p>
    <w:p>
      <w:pPr>
        <w:pStyle w:val="695"/>
        <w:numPr>
          <w:ilvl w:val="0"/>
          <w:numId w:val="42"/>
        </w:numPr>
        <w:ind w:left="0" w:firstLine="567"/>
        <w:jc w:val="both"/>
        <w:tabs>
          <w:tab w:val="left" w:pos="-3261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(Ю.В.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Крюкова).</w:t>
      </w:r>
      <w:r/>
    </w:p>
    <w:p>
      <w:pPr>
        <w:pStyle w:val="695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5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9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Главы города Сосновоборска</w:t>
        <w:tab/>
        <w:tab/>
        <w:tab/>
        <w:tab/>
        <w:tab/>
        <w:tab/>
        <w:t xml:space="preserve">     Д.В. Иванов</w:t>
      </w:r>
      <w:r/>
    </w:p>
    <w:sectPr>
      <w:footnotePr/>
      <w:endnotePr/>
      <w:type w:val="nextPage"/>
      <w:pgSz w:w="11905" w:h="16838" w:orient="portrait"/>
      <w:pgMar w:top="397" w:right="851" w:bottom="45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48" w:hanging="180"/>
      </w:pPr>
    </w:lvl>
  </w:abstractNum>
  <w:abstractNum w:abstractNumId="2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060" w:hanging="21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2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224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246" w:hanging="139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677" w:hanging="139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108" w:hanging="139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539" w:hanging="139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3970" w:hanging="139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4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87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5668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5760" w:hanging="216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05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8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2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540" w:hanging="972"/>
        <w:tabs>
          <w:tab w:val="num" w:pos="1540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95"/>
        <w:ind w:left="1582" w:hanging="360"/>
        <w:tabs>
          <w:tab w:val="num" w:pos="1582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5"/>
        <w:ind w:left="2302" w:hanging="36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22" w:hanging="360"/>
        <w:tabs>
          <w:tab w:val="num" w:pos="3022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5"/>
        <w:ind w:left="3742" w:hanging="360"/>
        <w:tabs>
          <w:tab w:val="num" w:pos="3742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5"/>
        <w:ind w:left="4462" w:hanging="36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182" w:hanging="360"/>
        <w:tabs>
          <w:tab w:val="num" w:pos="5182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5"/>
        <w:ind w:left="5902" w:hanging="360"/>
        <w:tabs>
          <w:tab w:val="num" w:pos="5902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5"/>
        <w:ind w:left="6622" w:hanging="36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4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5"/>
        <w:ind w:left="540" w:hanging="54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95"/>
        <w:ind w:left="540" w:hanging="540"/>
      </w:pPr>
    </w:lvl>
    <w:lvl w:ilvl="2">
      <w:start w:val="4"/>
      <w:numFmt w:val="decimal"/>
      <w:isLgl w:val="false"/>
      <w:suff w:val="tab"/>
      <w:lvlText w:val="%1.%2.%3."/>
      <w:lvlJc w:val="left"/>
      <w:pPr>
        <w:pStyle w:val="69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189" w:hanging="180"/>
      </w:pPr>
    </w:lvl>
  </w:abstractNum>
  <w:abstractNum w:abstractNumId="24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05" w:hanging="180"/>
      </w:pPr>
    </w:lvl>
  </w:abstractNum>
  <w:abstractNum w:abstractNumId="25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2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498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060" w:hanging="2160"/>
      </w:pPr>
    </w:lvl>
  </w:abstractNum>
  <w:abstractNum w:abstractNumId="29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18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188" w:hanging="18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555" w:hanging="180"/>
        <w:tabs>
          <w:tab w:val="num" w:pos="6555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8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5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8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5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9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366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3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7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5464" w:hanging="2160"/>
      </w:pPr>
    </w:lvl>
  </w:abstractNum>
  <w:abstractNum w:abstractNumId="3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05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1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904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20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05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832" w:hanging="2160"/>
      </w:p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</w:lvl>
  </w:abstractNum>
  <w:abstractNum w:abstractNumId="3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20" w:hanging="180"/>
      </w:p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2240" w:hanging="216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05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832" w:hanging="2160"/>
      </w:pPr>
    </w:lvl>
  </w:abstractNum>
  <w:abstractNum w:abstractNumId="42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05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367" w:hanging="180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47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060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05" w:hanging="360"/>
      </w:pPr>
      <w:rPr>
        <w:rFonts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05" w:hanging="360"/>
      </w:pPr>
      <w:rPr>
        <w:rFonts w:ascii="Wingdings" w:hAnsi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367" w:hanging="1800"/>
      </w:p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21"/>
  </w:num>
  <w:num w:numId="7">
    <w:abstractNumId w:val="12"/>
  </w:num>
  <w:num w:numId="8">
    <w:abstractNumId w:val="40"/>
  </w:num>
  <w:num w:numId="9">
    <w:abstractNumId w:val="15"/>
  </w:num>
  <w:num w:numId="10">
    <w:abstractNumId w:val="6"/>
  </w:num>
  <w:num w:numId="11">
    <w:abstractNumId w:val="47"/>
  </w:num>
  <w:num w:numId="12">
    <w:abstractNumId w:val="33"/>
  </w:num>
  <w:num w:numId="13">
    <w:abstractNumId w:val="42"/>
  </w:num>
  <w:num w:numId="14">
    <w:abstractNumId w:val="25"/>
  </w:num>
  <w:num w:numId="15">
    <w:abstractNumId w:val="24"/>
  </w:num>
  <w:num w:numId="16">
    <w:abstractNumId w:val="38"/>
  </w:num>
  <w:num w:numId="17">
    <w:abstractNumId w:val="2"/>
  </w:num>
  <w:num w:numId="18">
    <w:abstractNumId w:val="46"/>
  </w:num>
  <w:num w:numId="19">
    <w:abstractNumId w:val="30"/>
  </w:num>
  <w:num w:numId="20">
    <w:abstractNumId w:val="14"/>
  </w:num>
  <w:num w:numId="21">
    <w:abstractNumId w:val="1"/>
  </w:num>
  <w:num w:numId="22">
    <w:abstractNumId w:val="17"/>
  </w:num>
  <w:num w:numId="23">
    <w:abstractNumId w:val="31"/>
  </w:num>
  <w:num w:numId="24">
    <w:abstractNumId w:val="34"/>
  </w:num>
  <w:num w:numId="25">
    <w:abstractNumId w:val="32"/>
  </w:num>
  <w:num w:numId="26">
    <w:abstractNumId w:val="26"/>
  </w:num>
  <w:num w:numId="27">
    <w:abstractNumId w:val="20"/>
  </w:num>
  <w:num w:numId="28">
    <w:abstractNumId w:val="13"/>
  </w:num>
  <w:num w:numId="29">
    <w:abstractNumId w:val="28"/>
  </w:num>
  <w:num w:numId="30">
    <w:abstractNumId w:val="23"/>
  </w:num>
  <w:num w:numId="31">
    <w:abstractNumId w:val="36"/>
  </w:num>
  <w:num w:numId="32">
    <w:abstractNumId w:val="41"/>
  </w:num>
  <w:num w:numId="33">
    <w:abstractNumId w:val="45"/>
  </w:num>
  <w:num w:numId="34">
    <w:abstractNumId w:val="3"/>
  </w:num>
  <w:num w:numId="35">
    <w:abstractNumId w:val="39"/>
  </w:num>
  <w:num w:numId="36">
    <w:abstractNumId w:val="7"/>
  </w:num>
  <w:num w:numId="37">
    <w:abstractNumId w:val="10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0"/>
  </w:num>
  <w:num w:numId="41">
    <w:abstractNumId w:val="44"/>
  </w:num>
  <w:num w:numId="42">
    <w:abstractNumId w:val="43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9"/>
  </w:num>
  <w:num w:numId="46">
    <w:abstractNumId w:val="48"/>
  </w:num>
  <w:num w:numId="47">
    <w:abstractNumId w:val="11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5"/>
    <w:next w:val="69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5"/>
    <w:next w:val="69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5"/>
    <w:next w:val="69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5"/>
    <w:next w:val="69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5"/>
    <w:next w:val="69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5"/>
    <w:next w:val="69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5"/>
    <w:next w:val="69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5"/>
    <w:next w:val="69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5"/>
    <w:next w:val="69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5"/>
    <w:next w:val="69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5"/>
    <w:next w:val="69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5"/>
    <w:next w:val="69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5"/>
    <w:next w:val="69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next w:val="695"/>
    <w:link w:val="695"/>
    <w:qFormat/>
    <w:rPr>
      <w:sz w:val="24"/>
      <w:szCs w:val="24"/>
      <w:lang w:val="ru-RU" w:eastAsia="ru-RU" w:bidi="ar-SA"/>
    </w:rPr>
  </w:style>
  <w:style w:type="paragraph" w:styleId="696">
    <w:name w:val="Заголовок 1"/>
    <w:basedOn w:val="695"/>
    <w:next w:val="695"/>
    <w:link w:val="695"/>
    <w:qFormat/>
    <w:pPr>
      <w:jc w:val="center"/>
      <w:keepNext/>
      <w:outlineLvl w:val="0"/>
    </w:pPr>
    <w:rPr>
      <w:b/>
      <w:sz w:val="22"/>
      <w:szCs w:val="20"/>
    </w:rPr>
  </w:style>
  <w:style w:type="paragraph" w:styleId="697">
    <w:name w:val="Заголовок 3"/>
    <w:basedOn w:val="695"/>
    <w:next w:val="695"/>
    <w:link w:val="71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98">
    <w:name w:val="Основной шрифт абзаца"/>
    <w:next w:val="698"/>
    <w:link w:val="695"/>
    <w:semiHidden/>
  </w:style>
  <w:style w:type="table" w:styleId="699">
    <w:name w:val="Обычная таблица"/>
    <w:next w:val="699"/>
    <w:link w:val="695"/>
    <w:semiHidden/>
    <w:tblPr/>
  </w:style>
  <w:style w:type="numbering" w:styleId="700">
    <w:name w:val="Нет списка"/>
    <w:next w:val="700"/>
    <w:link w:val="695"/>
    <w:semiHidden/>
  </w:style>
  <w:style w:type="table" w:styleId="701">
    <w:name w:val="Сетка таблицы"/>
    <w:basedOn w:val="699"/>
    <w:next w:val="701"/>
    <w:link w:val="695"/>
    <w:tblPr/>
  </w:style>
  <w:style w:type="character" w:styleId="702">
    <w:name w:val="Гиперссылка"/>
    <w:next w:val="702"/>
    <w:link w:val="695"/>
    <w:rPr>
      <w:color w:val="0000ff"/>
      <w:u w:val="single"/>
    </w:rPr>
  </w:style>
  <w:style w:type="paragraph" w:styleId="703">
    <w:name w:val="Текст выноски"/>
    <w:basedOn w:val="695"/>
    <w:next w:val="703"/>
    <w:link w:val="695"/>
    <w:semiHidden/>
    <w:rPr>
      <w:rFonts w:ascii="Tahoma" w:hAnsi="Tahoma" w:cs="Tahoma"/>
      <w:sz w:val="16"/>
      <w:szCs w:val="16"/>
    </w:rPr>
  </w:style>
  <w:style w:type="paragraph" w:styleId="704">
    <w:name w:val="Абзац списка"/>
    <w:basedOn w:val="695"/>
    <w:next w:val="704"/>
    <w:link w:val="695"/>
    <w:uiPriority w:val="34"/>
    <w:qFormat/>
    <w:pPr>
      <w:contextualSpacing/>
      <w:ind w:left="720"/>
    </w:pPr>
  </w:style>
  <w:style w:type="paragraph" w:styleId="705">
    <w:name w:val="Основной текст с отступом"/>
    <w:basedOn w:val="695"/>
    <w:next w:val="705"/>
    <w:link w:val="706"/>
    <w:uiPriority w:val="99"/>
    <w:unhideWhenUsed/>
    <w:pPr>
      <w:ind w:firstLine="708"/>
      <w:jc w:val="both"/>
    </w:pPr>
    <w:rPr>
      <w:lang w:val="en-US" w:eastAsia="en-US"/>
    </w:rPr>
  </w:style>
  <w:style w:type="character" w:styleId="706">
    <w:name w:val="Основной текст с отступом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Основной текст"/>
    <w:basedOn w:val="695"/>
    <w:next w:val="707"/>
    <w:link w:val="708"/>
    <w:uiPriority w:val="99"/>
    <w:unhideWhenUsed/>
    <w:pPr>
      <w:spacing w:after="120"/>
    </w:pPr>
    <w:rPr>
      <w:lang w:val="en-US" w:eastAsia="en-US"/>
    </w:rPr>
  </w:style>
  <w:style w:type="character" w:styleId="708">
    <w:name w:val="Основной текст Знак"/>
    <w:next w:val="708"/>
    <w:link w:val="707"/>
    <w:uiPriority w:val="99"/>
    <w:rPr>
      <w:sz w:val="24"/>
      <w:szCs w:val="24"/>
    </w:rPr>
  </w:style>
  <w:style w:type="paragraph" w:styleId="709">
    <w:name w:val="ConsPlusNormal"/>
    <w:next w:val="709"/>
    <w:link w:val="695"/>
    <w:uiPriority w:val="99"/>
    <w:rPr>
      <w:sz w:val="24"/>
      <w:szCs w:val="24"/>
      <w:lang w:val="ru-RU" w:eastAsia="ru-RU" w:bidi="ar-SA"/>
    </w:rPr>
  </w:style>
  <w:style w:type="character" w:styleId="710">
    <w:name w:val="Основной текст_"/>
    <w:next w:val="710"/>
    <w:link w:val="711"/>
    <w:rPr>
      <w:sz w:val="27"/>
      <w:szCs w:val="27"/>
      <w:shd w:val="clear" w:color="auto" w:fill="ffffff"/>
    </w:rPr>
  </w:style>
  <w:style w:type="paragraph" w:styleId="711">
    <w:name w:val="Основной текст1"/>
    <w:basedOn w:val="695"/>
    <w:next w:val="711"/>
    <w:link w:val="71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2">
    <w:name w:val="ConsPlusCell"/>
    <w:next w:val="712"/>
    <w:link w:val="695"/>
    <w:pPr>
      <w:widowControl w:val="off"/>
    </w:pPr>
    <w:rPr>
      <w:rFonts w:ascii="Arial" w:hAnsi="Arial" w:cs="Arial"/>
      <w:lang w:val="ru-RU" w:eastAsia="ru-RU" w:bidi="ar-SA"/>
    </w:rPr>
  </w:style>
  <w:style w:type="paragraph" w:styleId="713">
    <w:name w:val="ConsPlusTitle"/>
    <w:next w:val="713"/>
    <w:link w:val="695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4">
    <w:name w:val="ConsPlusNonformat"/>
    <w:next w:val="714"/>
    <w:link w:val="69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5">
    <w:name w:val="Заголовок 3 Знак"/>
    <w:next w:val="715"/>
    <w:link w:val="69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716">
    <w:name w:val=" Знак Знак1"/>
    <w:basedOn w:val="695"/>
    <w:next w:val="716"/>
    <w:link w:val="69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paragraph" w:styleId="717">
    <w:name w:val="Схема документа"/>
    <w:basedOn w:val="695"/>
    <w:next w:val="717"/>
    <w:link w:val="718"/>
    <w:uiPriority w:val="99"/>
    <w:semiHidden/>
    <w:rPr>
      <w:rFonts w:ascii="Tahoma" w:hAnsi="Tahoma" w:eastAsia="Calibri"/>
      <w:sz w:val="16"/>
      <w:szCs w:val="16"/>
      <w:lang w:val="en-US" w:eastAsia="en-US"/>
    </w:rPr>
  </w:style>
  <w:style w:type="character" w:styleId="718">
    <w:name w:val="Схема документа Знак"/>
    <w:next w:val="718"/>
    <w:link w:val="717"/>
    <w:uiPriority w:val="99"/>
    <w:semiHidden/>
    <w:rPr>
      <w:rFonts w:ascii="Tahoma" w:hAnsi="Tahoma" w:eastAsia="Calibri" w:cs="Tahoma"/>
      <w:sz w:val="16"/>
      <w:szCs w:val="16"/>
      <w:lang w:eastAsia="en-US"/>
    </w:rPr>
  </w:style>
  <w:style w:type="paragraph" w:styleId="719">
    <w:name w:val="Без интервала"/>
    <w:next w:val="719"/>
    <w:link w:val="69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1053" w:default="1">
    <w:name w:val="Default Paragraph Font"/>
    <w:uiPriority w:val="1"/>
    <w:semiHidden/>
    <w:unhideWhenUsed/>
  </w:style>
  <w:style w:type="numbering" w:styleId="1054" w:default="1">
    <w:name w:val="No List"/>
    <w:uiPriority w:val="99"/>
    <w:semiHidden/>
    <w:unhideWhenUsed/>
  </w:style>
  <w:style w:type="table" w:styleId="10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23</cp:revision>
  <dcterms:created xsi:type="dcterms:W3CDTF">2022-05-19T10:00:00Z</dcterms:created>
  <dcterms:modified xsi:type="dcterms:W3CDTF">2024-01-29T03:11:53Z</dcterms:modified>
  <cp:version>983040</cp:version>
</cp:coreProperties>
</file>