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6238"/>
        <w:gridCol w:w="3326"/>
      </w:tblGrid>
      <w:tr>
        <w:trPr>
          <w:jc w:val="center"/>
          <w:trHeight w:val="4253"/>
        </w:trPr>
        <w:tc>
          <w:tcPr>
            <w:gridSpan w:val="2"/>
            <w:tcW w:w="9348" w:type="dxa"/>
            <w:textDirection w:val="lrTb"/>
            <w:noWrap w:val="false"/>
          </w:tcPr>
          <w:tbl>
            <w:tblPr>
              <w:tblW w:w="9348" w:type="dxa"/>
              <w:jc w:val="center"/>
              <w:tblLook w:val="01E0" w:firstRow="1" w:lastRow="1" w:firstColumn="1" w:lastColumn="1" w:noHBand="0" w:noVBand="0"/>
            </w:tblPr>
            <w:tblGrid>
              <w:gridCol w:w="9348"/>
            </w:tblGrid>
            <w:tr>
              <w:trPr>
                <w:jc w:val="center"/>
                <w:trHeight w:val="4253"/>
              </w:trPr>
              <w:tc>
                <w:tcPr>
                  <w:tcW w:w="9348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spacing w:after="0" w:line="240" w:lineRule="auto"/>
                    <w:tabs>
                      <w:tab w:val="num" w:pos="0" w:leader="none"/>
                    </w:tabs>
                    <w:rPr>
                      <w:rFonts w:ascii="Times New Roman" w:hAnsi="Times New Roman" w:eastAsia="Times New Roman" w:cs="Times New Roman"/>
                      <w:b/>
                      <w:szCs w:val="20"/>
                      <w:lang w:eastAsia="zh-CN"/>
                    </w:rPr>
                    <w:outlineLvl w:val="0"/>
                  </w:pPr>
                  <w:r>
                    <w:rPr>
                      <w:rFonts w:ascii="Times New Roman" w:hAnsi="Times New Roman" w:eastAsia="Times New Roman" w:cs="Times New Roman"/>
                      <w:b/>
                      <w:szCs w:val="20"/>
                      <w:lang w:eastAsia="ru-RU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rcRect l="-47" t="-37" r="-46" b="-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10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  <w:lang w:eastAsia="zh-CN"/>
                    </w:rPr>
                  </w:r>
                  <w:r/>
                </w:p>
                <w:p>
                  <w:pPr>
                    <w:jc w:val="center"/>
                    <w:spacing w:before="240" w:after="60" w:line="240" w:lineRule="auto"/>
                    <w:rPr>
                      <w:rFonts w:ascii="Calibri Light" w:hAnsi="Calibri Light" w:eastAsia="Times New Roman" w:cs="Times New Roman"/>
                      <w:b/>
                      <w:bCs/>
                      <w:sz w:val="36"/>
                      <w:szCs w:val="36"/>
                      <w:lang w:eastAsia="zh-CN"/>
                    </w:rPr>
                    <w:outlineLvl w:val="0"/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36"/>
                      <w:szCs w:val="36"/>
                      <w:lang w:eastAsia="zh-CN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44"/>
                      <w:szCs w:val="44"/>
                      <w:lang w:eastAsia="zh-CN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sz w:val="20"/>
                      <w:szCs w:val="20"/>
                      <w:lang w:eastAsia="zh-CN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zh-CN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zh-CN"/>
                    </w:rPr>
                  </w:r>
                  <w:r/>
                </w:p>
                <w:p>
                  <w:pPr>
                    <w:ind w:left="-113" w:hanging="103"/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zh-CN"/>
                    </w:rPr>
                    <w:t xml:space="preserve">     26 января 2024                                                                                                               №112</w:t>
                  </w:r>
                  <w:r/>
                </w:p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ind w:left="0" w:right="17" w:firstLine="0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администрации города Сосновоборска от 25.05.2022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pStyle w:val="645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оп</w:t>
      </w:r>
      <w:r>
        <w:rPr>
          <w:rFonts w:ascii="Times New Roman" w:hAnsi="Times New Roman" w:cs="Times New Roman"/>
          <w:sz w:val="28"/>
          <w:szCs w:val="28"/>
        </w:rPr>
        <w:t xml:space="preserve">латы труда работников муниципальных учреждений, в соответствии со статьей 144 Трудового кодекса Российской Федерации, Законом Красноярского края от 29.10.2009 № 9-3864 «О системах оплаты труда работников краевых государственных учреждений»,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13.02.2023 № 27/113-р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21.12.2016 № 15/64-р «О системах оплаты труда работников муниципальных учреждений города Сосновоборска», ст. ст. 26, 38 Устава города Сосновоборска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25.05</w:t>
      </w:r>
      <w:r>
        <w:rPr>
          <w:rFonts w:ascii="Times New Roman" w:hAnsi="Times New Roman" w:cs="Times New Roman"/>
          <w:sz w:val="28"/>
          <w:szCs w:val="28"/>
        </w:rPr>
        <w:t xml:space="preserve">.2022 № 779 «Об утверждении Примерного положения об оплате труда работников муниципального казенного учреждения «Управление капитального строительства и жилищно-коммунального хозяйства города Сосновоборска» (далее – Примерное положение)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изложить в новой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bookmarkStart w:id="0" w:name="_Hlk156568422"/>
      <w:r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руководителей учреждений, их заместителей и главных бухгалтеров включает в себя должностной оклад, выплаты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компенсационного и стимулирующего характера (выплата за важность выполняемой работы, степень 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краевая выплата,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выплаты; выплаты по итогам работы), определяемые в соответствии с настоящим Примерным положением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44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8 раздела III приложения 1 к Примерному положению слова </w:t>
      </w:r>
      <w:r>
        <w:rPr>
          <w:rFonts w:ascii="Times New Roman" w:hAnsi="Times New Roman" w:cs="Times New Roman"/>
          <w:sz w:val="28"/>
          <w:szCs w:val="28"/>
        </w:rPr>
        <w:t xml:space="preserve">«- руководителю МКУ «УКС и ЖКС» - 2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,0 должностных окладов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руководителю МКУ «УКС и ЖКС» - 27,0 должностных окладов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пункт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слова «ежеквартально» исключить.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Пункт 11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изложить в новой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«Выплаты стимулирующего характера устанавливаются за каждый вид выплат раздельно, в процентах от должностного оклада. Размер стимулирующих выплат для заместителей и главных бухгалтеров устанавливается приказом руководителя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выплат стим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</w:t>
      </w:r>
      <w:r>
        <w:rPr>
          <w:rFonts w:ascii="Times New Roman" w:hAnsi="Times New Roman" w:cs="Times New Roman"/>
          <w:sz w:val="28"/>
          <w:szCs w:val="28"/>
        </w:rPr>
        <w:t xml:space="preserve">няемых работ), размер и условия их осуществления, критерии оценки результативности и качества деятельности учреждений для руководителей учреждений, их заместителей и главных бухгалтеров определяются согласно приложению № 6 к настоящему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на срок не более трех месяцев.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абзаце 2 настоящего пункта выплаты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вновь принятых руководителей учреждений, их заместителей и главных бухгалтеров могут устанавливаться стимулирующие выплаты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прошлый месяц в соответствии с приложением № 6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Пункты 12 – 13, подпункты 13.1., 13.2.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считать пунктами 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, подпункт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.1.,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.2.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Раздел III приложения 1 к Примерному положению дополнить пунктом 12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выплаты к окладу (должностному окладу) за сло</w:t>
      </w:r>
      <w:r>
        <w:rPr>
          <w:rFonts w:ascii="Times New Roman" w:hAnsi="Times New Roman" w:cs="Times New Roman"/>
          <w:sz w:val="28"/>
          <w:szCs w:val="28"/>
        </w:rPr>
        <w:t xml:space="preserve">жность, напряженность и особый режим работы устанавливаются руководителям учреждений, их заместителям и главным бухгалтерам в размере, не превышающем 100% от оклада (должностного оклада), в соответствии с приложением 2 а Приложения № 2 Примерного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Раздел III приложения 1 к Примерному положению дополнить пунктом 13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руководителю учреждения, его заместителям и главному бухгалтеру устанавливается в целях, определенных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 xml:space="preserve">римерно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.».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Пункт 3 Приложения № 2 </w:t>
      </w:r>
      <w:r>
        <w:rPr>
          <w:rFonts w:ascii="Times New Roman" w:hAnsi="Times New Roman" w:cs="Times New Roman"/>
          <w:sz w:val="28"/>
          <w:szCs w:val="28"/>
        </w:rPr>
        <w:t xml:space="preserve">к Примерному положению </w:t>
      </w:r>
      <w:r>
        <w:rPr>
          <w:rFonts w:ascii="Times New Roman" w:hAnsi="Times New Roman" w:cs="Times New Roman"/>
          <w:sz w:val="28"/>
          <w:szCs w:val="28"/>
        </w:rPr>
        <w:t xml:space="preserve">дополнить 5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специальная краевая выплата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Пункт 8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к Примерному положению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Работникам, месячная заработная плата которых при полностью отработанной норме рабочего времени и выполненной норме</w:t>
      </w:r>
      <w:r>
        <w:rPr>
          <w:rFonts w:ascii="Times New Roman" w:hAnsi="Times New Roman" w:cs="Times New Roman"/>
          <w:sz w:val="28"/>
          <w:szCs w:val="28"/>
        </w:rPr>
        <w:t xml:space="preserve"> труда (трудовых обязанностей) ниже размера заработной платы, установленного пунктом 21 статьи 4 Закона Красноярского края от 29.10.2009 № 9-3864 «О системах оплаты труда работников краевых государственных учреждений», предоставляется региональная выплата.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выплата для работника рассчитывается как разница между размером заработной платы, установленным пунктом 21 статьи 4 Закона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29.10.2009 № 9-3864 «О системах оплаты труда работников краевых государственных учреждений»,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месячная заработ</w:t>
      </w:r>
      <w:r>
        <w:rPr>
          <w:rFonts w:ascii="Times New Roman" w:hAnsi="Times New Roman" w:cs="Times New Roman"/>
          <w:sz w:val="28"/>
          <w:szCs w:val="28"/>
        </w:rPr>
        <w:t xml:space="preserve">ная плата которых по основному месту работы при не полностью отработанной норме рабочего времени ниже размера заработной платы, установленного пунктом 21 статьи 4 Закона Красноярского края от 29.10.2009 № 9-3864 «О системах оплаты труда работников краевых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учреждений»,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пунктом 21 статьи 4 Закона Красно</w:t>
      </w:r>
      <w:r>
        <w:rPr>
          <w:rFonts w:ascii="Times New Roman" w:hAnsi="Times New Roman" w:cs="Times New Roman"/>
          <w:sz w:val="28"/>
          <w:szCs w:val="28"/>
        </w:rPr>
        <w:t xml:space="preserve">ярского края от 29.10.2009 № 9-3864 «О системах оплаты труда работников краевых государственных учреждений»,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</w:t>
      </w:r>
      <w:r>
        <w:rPr>
          <w:rFonts w:ascii="Times New Roman" w:hAnsi="Times New Roman" w:cs="Times New Roman"/>
          <w:sz w:val="28"/>
          <w:szCs w:val="28"/>
        </w:rPr>
        <w:t xml:space="preserve">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</w:t>
      </w:r>
      <w:r>
        <w:rPr>
          <w:rFonts w:ascii="Times New Roman" w:hAnsi="Times New Roman" w:cs="Times New Roman"/>
          <w:sz w:val="28"/>
          <w:szCs w:val="28"/>
        </w:rPr>
        <w:t xml:space="preserve">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заработной платы для расчета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</w:t>
      </w:r>
      <w:r>
        <w:rPr>
          <w:rFonts w:ascii="Times New Roman" w:hAnsi="Times New Roman" w:cs="Times New Roman"/>
          <w:sz w:val="28"/>
          <w:szCs w:val="28"/>
        </w:rPr>
        <w:t xml:space="preserve">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платы, установленного в Красн</w:t>
      </w:r>
      <w:r>
        <w:rPr>
          <w:rFonts w:ascii="Times New Roman" w:hAnsi="Times New Roman" w:cs="Times New Roman"/>
          <w:sz w:val="28"/>
          <w:szCs w:val="28"/>
        </w:rPr>
        <w:t xml:space="preserve">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</w:t>
      </w:r>
      <w:r>
        <w:rPr>
          <w:rFonts w:ascii="Times New Roman" w:hAnsi="Times New Roman" w:cs="Times New Roman"/>
          <w:sz w:val="28"/>
          <w:szCs w:val="28"/>
        </w:rPr>
        <w:t xml:space="preserve">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Пункты 9 – 10 приложения №2 к Примерному положению считать пунктами 11 – 12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Примерного положения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устанавливается в целях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пособий по временной нетрудоспособности, размер специальной краевой выплаты руководителю учреждения увеличивается.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увеличения, рассчитываемый по формуле: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x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(1)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СКВув</w:t>
      </w:r>
      <w:r>
        <w:rPr>
          <w:rFonts w:ascii="Times New Roman" w:hAnsi="Times New Roman" w:cs="Times New Roman"/>
          <w:sz w:val="28"/>
          <w:szCs w:val="28"/>
        </w:rPr>
        <w:t xml:space="preserve"> – ра</w:t>
      </w:r>
      <w:r>
        <w:rPr>
          <w:rFonts w:ascii="Times New Roman" w:hAnsi="Times New Roman" w:cs="Times New Roman"/>
          <w:sz w:val="28"/>
          <w:szCs w:val="28"/>
        </w:rPr>
        <w:t xml:space="preserve">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увеличения специальной краевой выплаты.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следующим образом: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(Зпф1 + (СКВ 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Кмес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+ Зпф2) / (Зпф1 + Зпф2), (2)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Зпф1 </w:t>
      </w:r>
      <w:r>
        <w:rPr>
          <w:rFonts w:ascii="Times New Roman" w:hAnsi="Times New Roman" w:cs="Times New Roman"/>
          <w:sz w:val="28"/>
          <w:szCs w:val="28"/>
        </w:rPr>
        <w:t xml:space="preserve">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Зпф2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 </w:t>
      </w:r>
      <w:r>
        <w:rPr>
          <w:rFonts w:ascii="Times New Roman" w:hAnsi="Times New Roman" w:cs="Times New Roman"/>
          <w:sz w:val="28"/>
          <w:szCs w:val="28"/>
        </w:rPr>
        <w:t xml:space="preserve">– специальная краевая выплата;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Кмес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Крк</w:t>
      </w:r>
      <w:r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Абзац 1 пункта 10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Примерного положения изложить в новой редакции: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2" w:name="_Hlk156575741"/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Конкретный размер выплат стимулирующего характера, за исключением </w:t>
      </w:r>
      <w:bookmarkStart w:id="3" w:name="_Hlk156810750"/>
      <w:r>
        <w:rPr>
          <w:rFonts w:ascii="Times New Roman" w:hAnsi="Times New Roman" w:cs="Times New Roman"/>
          <w:sz w:val="28"/>
          <w:szCs w:val="28"/>
        </w:rPr>
        <w:t xml:space="preserve">специальной краевой выплаты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персональных выплат, выплат по итогам работы, устанавливаются в абсолютном размере в соответствии с балльной оценкой, с учетом фактически отработанного времени, в следующем порядке.</w:t>
      </w:r>
      <w:r/>
    </w:p>
    <w:p>
      <w:pPr>
        <w:pStyle w:val="644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выплаты, осуществляемой конкретному работнику учреждения, определяется по формуле:</w:t>
      </w:r>
      <w:r/>
    </w:p>
    <w:p>
      <w:pPr>
        <w:pStyle w:val="644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размер балльных выплат, осуществляемых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работнику учреждения за истекший месяц (без учета районного коэффициента, процентной надбавки к заработной плате за стаж работы в районах Крайнего Севера и в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стоимость 1 балла для определения размера балльных выплат (без учета районного коэффициента, процентной надбавки к заработной плате за стаж работы в районах Крайнего Севера и приравненных к ним местностях, в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труда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учреждения, исчисленное в суммовом выражении по количественным показателям критериев оценки за истекший месяц;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осуществление балльных выплат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работнику учреждения, занятому по совместительству, а также на условиях неполного рабочего времени, пропорционально отработанному i-м работником Учреждения времени.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Пересчет </w:t>
      </w: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27622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4.3pt;height:21.8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бюджетную смету учреждения по показателю выплат «Заработная плата» до окончания месяца, в котором внесены такие изменения.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период с первого числа месяца, следующего за месяцем, в котором осуществлено внесение изменений в бюджетную смету учреждения по показателю выплат «Заработная плата», до окончания планового периода.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</w:t>
      </w:r>
      <w:r>
        <w:rPr>
          <w:rFonts w:ascii="Times New Roman" w:hAnsi="Times New Roman" w:cs="Times New Roman"/>
          <w:sz w:val="28"/>
          <w:szCs w:val="28"/>
        </w:rPr>
        <w:t xml:space="preserve">пересчет </w:t>
      </w: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276225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4.3pt;height:21.8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Para>
        <m:oMathParaPr/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балла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rPr/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rPr/>
            <m:t>-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рук,замру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, 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гл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.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бух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)/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n</m:t>
              </m:r>
            </m:sup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max</m:t>
                  </m:r>
                </m:sup>
              </m:sSubSup>
            </m:e>
          </m:nary>
          <m:r>
            <w:rPr>
              <w:rFonts w:ascii="Times New Roman" w:hAnsi="Times New Roman" w:cs="Times New Roman"/>
              <w:sz w:val="28"/>
              <w:szCs w:val="28"/>
            </w:rPr>
            <m:rPr>
              <m:nor m:val="on"/>
            </m:rPr>
            <m:t>,</m:t>
          </m:r>
        </m:oMath>
      </m:oMathPara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предназначенных для осуществления выплат стимулирующего характера работникам учреждения, за исключением специальной краевой выплаты,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выплат стимулирующего характера, 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Q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рук,замрук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сумма средств, предназначенных для осуществления выплат стимулирующего характера руководителю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его заместителям, главному бухгалтеру 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314325"/>
                <wp:effectExtent l="0" t="0" r="0" b="0"/>
                <wp:docPr id="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5.3pt;height:24.8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максимально возможное количество баллов за плановый период по результатам оценки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учреждения, рассчитанное в соответствии с настоящим Примерным положением.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максимально возможного количества баллов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 в части указанной выплаты: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в котором осуществлено внесение изменений в бюджетную смету учреждения по показателю выплат «Заработная плата»;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в соответствии со штатным расписанием Учреждения, за исключением руководителя Учреждения, его заместителей.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зп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перс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скв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зп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предусмотренных в бюджетной смете учреждения на плановый период по показателю выплат «Заработная плата», состоящая из установленных работникам учреждения окладов (должностных окладов), ставок заработн</w:t>
      </w:r>
      <w:r>
        <w:rPr>
          <w:rFonts w:ascii="Times New Roman" w:hAnsi="Times New Roman" w:cs="Times New Roman"/>
          <w:sz w:val="28"/>
          <w:szCs w:val="28"/>
        </w:rPr>
        <w:t xml:space="preserve">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4" w:name="_Hlk156810868"/>
      <w:r>
        <w:rPr>
          <w:rFonts w:ascii="Times New Roman" w:hAnsi="Times New Roman" w:cs="Times New Roman"/>
          <w:sz w:val="28"/>
          <w:szCs w:val="28"/>
        </w:rPr>
        <w:t xml:space="preserve">сумма средств, предусмотренная штатным расписанием учреждения на оплату труда работников учреждения на плановый период, состоящая из установленных работникам учреждения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, ставок заработной платы, выплат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bookmarkEnd w:id="4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сумма средств на выплату специальной краевой выплаты работников учреждения на плановый период, </w:t>
      </w:r>
      <w:r>
        <w:rPr>
          <w:rFonts w:ascii="Times New Roman" w:hAnsi="Times New Roman" w:cs="Times New Roman"/>
          <w:sz w:val="28"/>
          <w:szCs w:val="28"/>
        </w:rPr>
        <w:t xml:space="preserve">рассчитанная в соответствии с настоящим Примерным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5" w:name="_Hlk156810842"/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перс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- сумма средств на выплату персональных стимулирующих выплат работникам учреждения на плановый период</w:t>
      </w:r>
      <w:bookmarkStart w:id="6" w:name="_Hlk156813466"/>
      <w:r>
        <w:rPr>
          <w:rFonts w:ascii="Times New Roman" w:hAnsi="Times New Roman" w:cs="Times New Roman"/>
          <w:sz w:val="28"/>
          <w:szCs w:val="28"/>
        </w:rPr>
        <w:t xml:space="preserve">, рассчитанная в соответствии с настоящим Примерным положением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условиями), за исключением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труда), в целях обеспечения региональной выплаты, в целях повышения уровня оплаты молодым специалистам.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в целях обеспечения заработной платы работника учреждения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ноябрь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предшествующий месяцу,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предшествующий месяцу,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направляемая в резерв для</w:t>
      </w:r>
      <w:r>
        <w:rPr>
          <w:rFonts w:ascii="Times New Roman" w:hAnsi="Times New Roman" w:cs="Times New Roman"/>
          <w:sz w:val="28"/>
          <w:szCs w:val="28"/>
        </w:rPr>
        <w:t xml:space="preserve"> оплаты отпусков по должностям, замещаемым на период отпуска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position w:val="-3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6400" cy="542925"/>
                <wp:effectExtent l="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32.0pt;height:42.8pt;mso-wrap-distance-left:0.0pt;mso-wrap-distance-top:0.0pt;mso-wrap-distance-right:0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дней отпуска по должностям, замещаемым на период отпуска, согласно графику отпусков в плановом периоде;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календарных дней в плановом периоде;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в соответствии со штатным расписанием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расчет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, то ее расчет осуществляется за вычетом сумм, выплаченных или подлежащих выплате за истекшую часть планового периода.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Q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рук,замрук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color w:val="ff0000"/>
          <w:position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рук,замру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к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,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гл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. 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бух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rPr>
                  <m:nor m:val="on"/>
                </m:rPr>
                <m:t>max</m:t>
              </m:r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 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+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s</m:t>
              </m:r>
            </m:sup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Qi</m:t>
                  </m:r>
                </m:e>
                <m:sub>
                  <m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стим</m:t>
                  </m:r>
                </m:sub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rPr>
                      <m:nor m:val="on"/>
                    </m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 </m:t>
                  </m:r>
                  <m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замрук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, 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гл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.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бух</m:t>
                  </m:r>
                </m:sup>
              </m:sSubSup>
            </m:e>
          </m:nary>
          <m:r>
            <w:rPr>
              <w:rFonts w:ascii="Times New Roman" w:hAnsi="Times New Roman" w:cs="Times New Roman" w:eastAsiaTheme="minorEastAsia"/>
              <w:sz w:val="28"/>
              <w:szCs w:val="28"/>
            </w:rPr>
            <m:rPr>
              <m:nor m:val="on"/>
            </m:rPr>
            <m:t>,</m:t>
          </m:r>
        </m:oMath>
      </m:oMathPara>
      <w:r/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225" cy="333375"/>
                <wp:effectExtent l="0" t="0" r="9525" b="0"/>
                <wp:docPr id="6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51.8pt;height:26.3pt;mso-wrap-distance-left:0.0pt;mso-wrap-distance-top:0.0pt;mso-wrap-distance-right:0.0pt;mso-wrap-distance-bottom:0.0pt;" stroked="f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сумма средств, необходимая в плановом периоде для осуществления выплат стимулирующего характера руководителю учреждения в максимальном размере в соответствии с </w:t>
      </w:r>
      <w:hyperlink r:id="rId15" w:tooltip="consultantplus://offline/ref=B0E9A90E2181B7792BF49AB43B194DD15EEA2971A6E3564E7F03205FDD1E3C0EFAD00E8D778C6217D5318A33MBx6E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Qi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rPr>
                <m:nor m:val="on"/>
              </m:rPr>
              <m:t>max</m:t>
            </m:r>
            <m:r>
              <w:rPr>
                <w:rFonts w:ascii="Cambria Math" w:hAnsi="Cambria Math" w:cs="Times New Roman"/>
                <w:sz w:val="28"/>
                <w:szCs w:val="28"/>
              </w:rPr>
              <m:rPr/>
              <m:t> </m:t>
            </m:r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сумма средств, необходимая в плановом периоде для осуществления выплат стимулирующего характера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руководителя, главному бухгалтеру учреждения в максимальном размере в соответствии с </w:t>
      </w:r>
      <w:hyperlink r:id="rId16" w:tooltip="consultantplus://offline/ref=B0E9A90E2181B7792BF49AB43B194DD15EEA2971A6E3564E7F03205FDD1E3C0EFAD00E8D778C6217D5318A33MBx6E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заместителей руководителя, главного бухгалтера учреждения в соответствии со штатным расписанием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учреждения, его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, 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сотрудникам производятся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bookmarkEnd w:id="2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«Рабочий»,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.01.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Подпункт «в» пункта 9 Приложения № 2 Примерного положения действует до 31.12.2024.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города по общественно-политической работе (Ю.В.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Крюкова).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И.о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Глав</w:t>
      </w:r>
      <w:r>
        <w:rPr>
          <w:rFonts w:ascii="Times New Roman" w:hAnsi="Times New Roman" w:eastAsia="Calibri" w:cs="Times New Roman"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города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mbria Math">
    <w:panose1 w:val="02040503050406030204"/>
  </w:font>
  <w:font w:name="Calibri Light">
    <w:panose1 w:val="020F0302020204030204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5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39"/>
    <w:link w:val="638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9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9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9"/>
    <w:link w:val="700"/>
    <w:uiPriority w:val="99"/>
  </w:style>
  <w:style w:type="character" w:styleId="44">
    <w:name w:val="Footer Char"/>
    <w:basedOn w:val="639"/>
    <w:link w:val="702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2"/>
    <w:uiPriority w:val="99"/>
  </w:style>
  <w:style w:type="table" w:styleId="48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9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9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</w:style>
  <w:style w:type="paragraph" w:styleId="638">
    <w:name w:val="Heading 1"/>
    <w:basedOn w:val="637"/>
    <w:next w:val="637"/>
    <w:link w:val="694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paragraph" w:styleId="642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43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4">
    <w:name w:val="List Paragraph"/>
    <w:basedOn w:val="637"/>
    <w:uiPriority w:val="34"/>
    <w:qFormat/>
    <w:pPr>
      <w:contextualSpacing/>
      <w:ind w:left="720"/>
    </w:pPr>
  </w:style>
  <w:style w:type="paragraph" w:styleId="645" w:customStyle="1">
    <w:name w:val="ConsPlusNormal"/>
    <w:link w:val="706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46">
    <w:name w:val="Hyperlink"/>
    <w:basedOn w:val="639"/>
    <w:uiPriority w:val="99"/>
    <w:unhideWhenUsed/>
    <w:rPr>
      <w:color w:val="0000ff" w:themeColor="hyperlink"/>
      <w:u w:val="single"/>
    </w:rPr>
  </w:style>
  <w:style w:type="character" w:styleId="647" w:customStyle="1">
    <w:name w:val="Основной текст_"/>
    <w:basedOn w:val="639"/>
    <w:link w:val="648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48" w:customStyle="1">
    <w:name w:val="Основной текст1"/>
    <w:basedOn w:val="637"/>
    <w:link w:val="64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49">
    <w:name w:val="Balloon Text"/>
    <w:basedOn w:val="637"/>
    <w:link w:val="6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0" w:customStyle="1">
    <w:name w:val="Текст выноски Знак"/>
    <w:basedOn w:val="639"/>
    <w:link w:val="649"/>
    <w:uiPriority w:val="99"/>
    <w:semiHidden/>
    <w:rPr>
      <w:rFonts w:ascii="Tahoma" w:hAnsi="Tahoma" w:cs="Tahoma"/>
      <w:sz w:val="16"/>
      <w:szCs w:val="16"/>
    </w:rPr>
  </w:style>
  <w:style w:type="paragraph" w:styleId="651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52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53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54" w:customStyle="1">
    <w:name w:val="Основной текст (3)_"/>
    <w:basedOn w:val="639"/>
    <w:link w:val="655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55" w:customStyle="1">
    <w:name w:val="Основной текст (3)"/>
    <w:basedOn w:val="637"/>
    <w:link w:val="654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56" w:customStyle="1">
    <w:name w:val="Основной текст (4)_"/>
    <w:basedOn w:val="639"/>
    <w:link w:val="658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57" w:customStyle="1">
    <w:name w:val="Основной текст (5)_"/>
    <w:basedOn w:val="639"/>
    <w:link w:val="659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58" w:customStyle="1">
    <w:name w:val="Основной текст (4)"/>
    <w:basedOn w:val="637"/>
    <w:link w:val="656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59" w:customStyle="1">
    <w:name w:val="Основной текст (5)"/>
    <w:basedOn w:val="637"/>
    <w:link w:val="65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60" w:customStyle="1">
    <w:name w:val="Основной текст (6)_"/>
    <w:basedOn w:val="639"/>
    <w:link w:val="661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1" w:customStyle="1">
    <w:name w:val="Основной текст (6)"/>
    <w:basedOn w:val="637"/>
    <w:link w:val="66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2" w:customStyle="1">
    <w:name w:val="Основной текст (8)_"/>
    <w:basedOn w:val="639"/>
    <w:link w:val="663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63" w:customStyle="1">
    <w:name w:val="Основной текст (8)"/>
    <w:basedOn w:val="637"/>
    <w:link w:val="662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64" w:customStyle="1">
    <w:name w:val="Основной текст (7)_"/>
    <w:basedOn w:val="639"/>
    <w:link w:val="665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5" w:customStyle="1">
    <w:name w:val="Основной текст (7)"/>
    <w:basedOn w:val="637"/>
    <w:link w:val="664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6" w:customStyle="1">
    <w:name w:val="Основной текст (10)_"/>
    <w:basedOn w:val="639"/>
    <w:link w:val="667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7" w:customStyle="1">
    <w:name w:val="Основной текст (10)"/>
    <w:basedOn w:val="637"/>
    <w:link w:val="666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8" w:customStyle="1">
    <w:name w:val="Основной текст (11)_"/>
    <w:basedOn w:val="639"/>
    <w:link w:val="670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69" w:customStyle="1">
    <w:name w:val="Основной текст (12)_"/>
    <w:basedOn w:val="639"/>
    <w:link w:val="671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70" w:customStyle="1">
    <w:name w:val="Основной текст (11)"/>
    <w:basedOn w:val="637"/>
    <w:link w:val="668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71" w:customStyle="1">
    <w:name w:val="Основной текст (12)"/>
    <w:basedOn w:val="637"/>
    <w:link w:val="669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72" w:customStyle="1">
    <w:name w:val="Основной текст (9)_"/>
    <w:basedOn w:val="639"/>
    <w:link w:val="673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73" w:customStyle="1">
    <w:name w:val="Основной текст (9)"/>
    <w:basedOn w:val="637"/>
    <w:link w:val="672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74" w:customStyle="1">
    <w:name w:val="Основной текст (13)_"/>
    <w:basedOn w:val="639"/>
    <w:link w:val="677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75" w:customStyle="1">
    <w:name w:val="Основной текст (14)_"/>
    <w:basedOn w:val="639"/>
    <w:link w:val="678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76" w:customStyle="1">
    <w:name w:val="Основной текст (15)_"/>
    <w:basedOn w:val="639"/>
    <w:link w:val="679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7" w:customStyle="1">
    <w:name w:val="Основной текст (13)"/>
    <w:basedOn w:val="637"/>
    <w:link w:val="674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78" w:customStyle="1">
    <w:name w:val="Основной текст (14)"/>
    <w:basedOn w:val="637"/>
    <w:link w:val="67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79" w:customStyle="1">
    <w:name w:val="Основной текст (15)"/>
    <w:basedOn w:val="637"/>
    <w:link w:val="676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0" w:customStyle="1">
    <w:name w:val="Основной текст (18)_"/>
    <w:basedOn w:val="639"/>
    <w:link w:val="681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81" w:customStyle="1">
    <w:name w:val="Основной текст (18)"/>
    <w:basedOn w:val="637"/>
    <w:link w:val="680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82" w:customStyle="1">
    <w:name w:val="Основной текст (23)_"/>
    <w:basedOn w:val="639"/>
    <w:link w:val="684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83" w:customStyle="1">
    <w:name w:val="Основной текст (25)_"/>
    <w:basedOn w:val="639"/>
    <w:link w:val="685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84" w:customStyle="1">
    <w:name w:val="Основной текст (23)"/>
    <w:basedOn w:val="637"/>
    <w:link w:val="682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85" w:customStyle="1">
    <w:name w:val="Основной текст (25)"/>
    <w:basedOn w:val="637"/>
    <w:link w:val="683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6" w:customStyle="1">
    <w:name w:val="Основной текст (24)_"/>
    <w:basedOn w:val="639"/>
    <w:link w:val="687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87" w:customStyle="1">
    <w:name w:val="Основной текст (24)"/>
    <w:basedOn w:val="637"/>
    <w:link w:val="686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88" w:customStyle="1">
    <w:name w:val="Основной текст (22)_"/>
    <w:basedOn w:val="639"/>
    <w:link w:val="689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89" w:customStyle="1">
    <w:name w:val="Основной текст (22)"/>
    <w:basedOn w:val="637"/>
    <w:link w:val="68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90" w:customStyle="1">
    <w:name w:val="Основной текст + Интервал 1 pt"/>
    <w:basedOn w:val="647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91" w:customStyle="1">
    <w:name w:val="Основной текст + Интервал 3 pt"/>
    <w:basedOn w:val="647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92" w:customStyle="1">
    <w:name w:val="Нет списка1"/>
    <w:next w:val="641"/>
    <w:uiPriority w:val="99"/>
    <w:semiHidden/>
    <w:unhideWhenUsed/>
  </w:style>
  <w:style w:type="table" w:styleId="693" w:customStyle="1">
    <w:name w:val="Сетка таблицы1"/>
    <w:basedOn w:val="640"/>
    <w:next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4" w:customStyle="1">
    <w:name w:val="Заголовок 1 Знак"/>
    <w:basedOn w:val="639"/>
    <w:link w:val="638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695">
    <w:name w:val="Placeholder Text"/>
    <w:basedOn w:val="639"/>
    <w:uiPriority w:val="99"/>
    <w:semiHidden/>
    <w:rPr>
      <w:color w:val="808080"/>
    </w:rPr>
  </w:style>
  <w:style w:type="paragraph" w:styleId="696">
    <w:name w:val="Normal (Web)"/>
    <w:basedOn w:val="63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7" w:customStyle="1">
    <w:name w:val="Абзац списка1"/>
    <w:basedOn w:val="637"/>
    <w:pPr>
      <w:ind w:left="720"/>
    </w:pPr>
    <w:rPr>
      <w:rFonts w:ascii="Calibri" w:hAnsi="Calibri" w:eastAsia="Times New Roman" w:cs="Times New Roman"/>
    </w:rPr>
  </w:style>
  <w:style w:type="table" w:styleId="698" w:customStyle="1">
    <w:name w:val="Сетка таблицы2"/>
    <w:basedOn w:val="640"/>
    <w:next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3"/>
    <w:basedOn w:val="640"/>
    <w:next w:val="64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0">
    <w:name w:val="Header"/>
    <w:basedOn w:val="637"/>
    <w:link w:val="7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1" w:customStyle="1">
    <w:name w:val="Верхний колонтитул Знак"/>
    <w:basedOn w:val="639"/>
    <w:link w:val="700"/>
    <w:uiPriority w:val="99"/>
  </w:style>
  <w:style w:type="paragraph" w:styleId="702">
    <w:name w:val="Footer"/>
    <w:basedOn w:val="637"/>
    <w:link w:val="7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3" w:customStyle="1">
    <w:name w:val="Нижний колонтитул Знак"/>
    <w:basedOn w:val="639"/>
    <w:link w:val="702"/>
    <w:uiPriority w:val="99"/>
  </w:style>
  <w:style w:type="table" w:styleId="704" w:customStyle="1">
    <w:name w:val="Сетка таблицы4"/>
    <w:basedOn w:val="640"/>
    <w:next w:val="6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5"/>
    <w:basedOn w:val="640"/>
    <w:next w:val="643"/>
    <w:uiPriority w:val="5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 w:customStyle="1">
    <w:name w:val="ConsPlusNormal Знак"/>
    <w:link w:val="645"/>
    <w:rPr>
      <w:rFonts w:ascii="Arial" w:hAnsi="Arial" w:cs="Arial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yperlink" Target="consultantplus://offline/ref=B0E9A90E2181B7792BF49AB43B194DD15EEA2971A6E3564E7F03205FDD1E3C0EFAD00E8D778C6217D5318A33MBx6E" TargetMode="External"/><Relationship Id="rId16" Type="http://schemas.openxmlformats.org/officeDocument/2006/relationships/hyperlink" Target="consultantplus://offline/ref=B0E9A90E2181B7792BF49AB43B194DD15EEA2971A6E3564E7F03205FDD1E3C0EFAD00E8D778C6217D5318A33MBx6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1EFD-BD5B-465E-A96E-DF0EC20D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revision>8</cp:revision>
  <dcterms:created xsi:type="dcterms:W3CDTF">2024-01-22T06:43:00Z</dcterms:created>
  <dcterms:modified xsi:type="dcterms:W3CDTF">2024-01-29T02:58:41Z</dcterms:modified>
</cp:coreProperties>
</file>