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pacing w:before="480" w:after="0"/>
        <w:jc w:val="center"/>
        <w:rPr>
          <w:rFonts w:cs="Times New Roman"/>
          <w:sz w:val="24"/>
          <w:szCs w:val="24"/>
        </w:rPr>
      </w:pPr>
      <w:r>
        <w:rPr/>
        <w:drawing>
          <wp:inline distT="0" distB="0" distL="0" distR="0">
            <wp:extent cx="666750" cy="847725"/>
            <wp:effectExtent l="0" t="0" r="0" b="0"/>
            <wp:docPr id="1" name="Рисунок 3" descr="C:\Users\User\Desktop\мои документы\Устав и герб города\по гербу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esktop\мои документы\Устав и герб города\по гербу\Герб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jc w:val="center"/>
        <w:rPr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СОСНОВОБОРСКИЙ ГОРОДСКОЙ СОВЕТ ДЕПУТАТОВ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РЕШЕНИЕ</w:t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sz w:val="24"/>
          <w:szCs w:val="24"/>
          <w:lang w:eastAsia="ru-RU"/>
        </w:rPr>
        <w:t>13 февраля 2023                                                                                                         № 27/11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-р</w:t>
      </w:r>
      <w:r>
        <w:rPr>
          <w:sz w:val="20"/>
          <w:szCs w:val="20"/>
          <w:lang w:eastAsia="ru-RU"/>
        </w:rPr>
        <w:t xml:space="preserve">. </w:t>
      </w:r>
    </w:p>
    <w:p>
      <w:pPr>
        <w:pStyle w:val="Normal"/>
        <w:widowControl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Сосновоборск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4"/>
                <w:szCs w:val="24"/>
                <w:lang w:val="ru-RU" w:bidi="ar-SA"/>
              </w:rPr>
              <w:t>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 и находящихся в собственности муниципального образования город Сосновоборск, предоставленных в аренду без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расчета годовой суммы арендной платы за использование земельных участков,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и земельных участков, находящихся в собственности муниципального образования город Сосновоборск, расположенных в границах муниципального образования  город Сосновоборск,  предоставленных в аренду без торгов,  на основании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статей 22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39.7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65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статьи 12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Закона Красноярского края от 04.12.2008 № 7-2542 «О регулировании земельных отношений в Красноярском крае», приказа министерства экономики и регионального развития Красноярского края от 11.11.2022 №5н «Об утверждении результатов определения кадастровой стоимости земельных участков, расположенных на территории Красноярского края»,  руководствуясь </w:t>
      </w:r>
      <w:hyperlink r:id="rId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статьей 32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Устава города Сосновоборска,</w:t>
      </w:r>
      <w:r>
        <w:rPr>
          <w:rFonts w:cs="Times New Roman" w:ascii="Times New Roman" w:hAnsi="Times New Roman"/>
          <w:sz w:val="28"/>
          <w:szCs w:val="28"/>
        </w:rPr>
        <w:t xml:space="preserve"> Сосновоборский городской Совет депутатов РЕШИЛ: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 Установить К1 - коэффициент, учитывающий вид разрешенного использования земельного участка, согласно приложению 1.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r>
        <w:rPr>
          <w:rFonts w:cs="Times New Roman" w:ascii="Times New Roman" w:hAnsi="Times New Roman"/>
          <w:sz w:val="28"/>
          <w:szCs w:val="28"/>
        </w:rPr>
        <w:t>2. Установить К2 - коэффициент, учитывающий категорию арендатора, равный 0,76, для следующих категорий арендаторов, не являющихся индивидуальными предпринимателями: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Героев Советского Союза, Героев Российской Федерации, полных кавалеров ордена Славы;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инвалидов, имеющих III степень ограничения способности к трудовой деятельности, а также лиц, которые имеют I и II группы инвалидности;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инвалидов с детства;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Установить, что при наличии у арендатора более одного земельного участка на праве аренды указанный в пункте 2 решения коэффициент распространяется на один из них по выбору арендатора.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Документы, подтверждающие право на вычеты, представляются арендаторами в управление градостроительства, имущественных и земельных отношений администрации города Сосновоборска одновременно с заключением договора аренды.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4. Для категорий арендаторов, не указанных в пункте 2 решения, установить К2 равным 1.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5. Установить, что в случае, если размер арендной платы за земельный участок в отношении лиц, установленных статьей 39.7 Земельного кодекса Российской Федерации, статьей 12 Закона Красноярского края от 04.12.2008 № 7-2542 «О регулировании земельных отношений в Красноярском крае», превышает сумму земельного налога, то арендная плата за земельный участок признается равной размеру земельного налога, рассчитанного в отношении такого земельного участка.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6. Считать утратившими силу решения Сосновоборского городского Совета депутатов: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6.1. от 10 декабря 2018 г. № 35/144-р «Об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 и находящихся в собственности муниципального образования город Сосновоборск, предоставляемых в аренду без торгов»;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6.2. от 01 февраля 2021 г. № 6/17-р «О внесении изменений в решение Сосновоборского городского Совета депутатов от 10 декабря 2018 г. № 35/144-р «Об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 и находящихся в собственности муниципального образования город Сосновоборск, предоставляемых в аренду без торгов».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7. 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2023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8. 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(Н.А.Бурцева).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5"/>
        <w:gridCol w:w="4599"/>
      </w:tblGrid>
      <w:tr>
        <w:trPr/>
        <w:tc>
          <w:tcPr>
            <w:tcW w:w="4755" w:type="dxa"/>
            <w:tcBorders/>
            <w:vAlign w:val="center"/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Сосновоборского </w:t>
              <w:br/>
              <w:t> городского Совета депутатов</w:t>
            </w:r>
          </w:p>
          <w:p>
            <w:pPr>
              <w:pStyle w:val="Style20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Б.М.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Пучкин</w:t>
            </w:r>
          </w:p>
        </w:tc>
        <w:tc>
          <w:tcPr>
            <w:tcW w:w="4599" w:type="dxa"/>
            <w:tcBorders/>
            <w:vAlign w:val="center"/>
          </w:tcPr>
          <w:p>
            <w:pPr>
              <w:pStyle w:val="Style20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Сосновоборска</w:t>
            </w:r>
          </w:p>
          <w:p>
            <w:pPr>
              <w:pStyle w:val="Style20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567" w:footer="0" w:bottom="709"/>
          <w:pgNumType w:fmt="decimal"/>
          <w:formProt w:val="false"/>
          <w:textDirection w:val="lrTb"/>
          <w:docGrid w:type="default" w:linePitch="360" w:charSpace="4096"/>
        </w:sect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Сосновоборского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Совета депутатов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13.02.2023 № 27/11</w:t>
      </w:r>
      <w:r>
        <w:rPr>
          <w:rFonts w:cs="Times New Roman" w:ascii="Times New Roman" w:hAnsi="Times New Roman"/>
          <w:sz w:val="24"/>
          <w:szCs w:val="24"/>
        </w:rPr>
        <w:t>4-</w:t>
      </w:r>
      <w:r>
        <w:rPr>
          <w:rFonts w:cs="Times New Roman" w:ascii="Times New Roman" w:hAnsi="Times New Roman"/>
          <w:sz w:val="24"/>
          <w:szCs w:val="24"/>
        </w:rPr>
        <w:t>р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bookmarkStart w:id="1" w:name="P49"/>
      <w:bookmarkEnd w:id="1"/>
      <w:r>
        <w:rPr>
          <w:rFonts w:cs="Times New Roman" w:ascii="Times New Roman" w:hAnsi="Times New Roman"/>
          <w:sz w:val="28"/>
          <w:szCs w:val="28"/>
        </w:rPr>
        <w:t>К1 - КОЭФФИЦИЕНТ, УЧИТЫВАЮЩИЙ ВИД РАЗРЕШЕННОГО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ИСПОЛЬЗОВАНИЯ ЗЕМЕЛЬНОГО УЧАСТКА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2" w:name="_GoBack"/>
      <w:bookmarkStart w:id="3" w:name="_GoBack"/>
      <w:bookmarkEnd w:id="3"/>
    </w:p>
    <w:tbl>
      <w:tblPr>
        <w:tblW w:w="999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46"/>
        <w:gridCol w:w="1464"/>
        <w:gridCol w:w="1380"/>
      </w:tblGrid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вида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</w:tr>
      <w:tr>
        <w:trPr>
          <w:trHeight w:val="17" w:hRule="atLeast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«Сельскохозяйственное использование»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Растениеводство. 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0,926327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</w:tr>
      <w:tr>
        <w:trPr>
          <w:trHeight w:val="1623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Животноводство.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0,926327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</w:t>
            </w:r>
          </w:p>
        </w:tc>
      </w:tr>
      <w:tr>
        <w:trPr>
          <w:trHeight w:val="761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Хранение сельскохозяйственной продукции. Размещение зданий, сооружений, используемых для  хранения сельскохозяйственной продукции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0,032065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1.15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«Жилая застройка»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0,003934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0,003934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2.1.1</w:t>
            </w:r>
          </w:p>
        </w:tc>
      </w:tr>
      <w:tr>
        <w:trPr>
          <w:trHeight w:val="533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0,003934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</w:tr>
      <w:tr>
        <w:trPr>
          <w:trHeight w:val="290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0,001888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</w:t>
            </w:r>
          </w:p>
        </w:tc>
      </w:tr>
      <w:tr>
        <w:trPr>
          <w:trHeight w:val="340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0,001888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«Общественное использование»</w:t>
            </w:r>
          </w:p>
        </w:tc>
      </w:tr>
      <w:tr>
        <w:trPr>
          <w:trHeight w:val="491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обслуживание.  Здания, сооружения, помещения, предназначенные в целях обеспечения физических и юридических лиц коммунальными услугами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обслуживание. 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обслуживание.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обслуживание.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3.2.3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и просвещение. Здания, сооружения, помещения, предназначенные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просвещению), в том числе здания,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Культурное развитие. Размещение зданий и сооружений, предназначенных для размещения объектов культуры.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3.6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Религиозное использование. Размещение зданий и сооружений религиозного использования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3.7</w:t>
            </w:r>
          </w:p>
        </w:tc>
      </w:tr>
      <w:tr>
        <w:trPr>
          <w:trHeight w:val="171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Общественное управление. Здания, предназначенные для размещения органов и организаций общественного управления, государственных органов, органов местного самоуправления, судов, государственного пенсионного фонда, а также организаций, непосредственно обеспечивающих их деятельность или оказывающих государственные и (или) муниципальные услуги.  Размещение зданий, предназначенных для размещения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3.8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научной деятельности. Размещение зданий и сооружений для обеспечения научной деятельности.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«Предпринимательство»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0,034408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,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0,010750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Магазины. Здания, сооружения, помещения, предназначенные для продажи товаров, торговая площадь которых составляет до 5 000 кв. 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Банковская и страховая деятельность. Здания, сооружения, помещения, предназначенные для размещения организаций, оказывающих банковские и страховые услуги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0,035132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Общественное питание. Размещение объектов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4.6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Развлечения. Размещение зданий и сооружений, предназначенных для развлечения.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4.8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Объекты придорожного сервиса. Заправка транспортных средств.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0,036432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4.9.1.1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Объекты придорожного сервиса. Автомобильные мойки. Размещение автомобильных моек, а также размещение магазинов сопутствующей торговли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0,036432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4.9.1.3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Объекты придорожного сервиса. Ремонт автомобилей.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0,036432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4.9.1.4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Выставочно-ярмарочная деятельность. Размещение ОКС,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4.10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Автомобильный транспорт. Размещение зданий и сооружений, предназначенных для обслуживания пассажиров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«Отдых (рекреация)»</w:t>
            </w:r>
          </w:p>
        </w:tc>
      </w:tr>
      <w:tr>
        <w:trPr>
          <w:trHeight w:val="395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Спорт. Размещение зданий и сооружений для занятия спортом.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Природно-познавательный туризм.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0,019162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«Производственная деятельность»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Недропользование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Тяжелая промышленность.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Автомобилестроительная промышленность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6.6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Энергетика. Размещение объектов гидроэнергетики, размещение обслуживающих и вспомогательных для электростанций сооружений (гидротехнических сооружений)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Энергетика. Размещение объектов тепловых станций и других электростанций,  размещение обслуживающих и вспомогательных для электростанций сооружений (золоотвалов)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0,006018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Энергетика. Размещение объектов электросетевого хозяйства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">
              <w:r>
                <w:rPr>
                  <w:rFonts w:cs="Times New Roman" w:ascii="Times New Roman" w:hAnsi="Times New Roman"/>
                  <w:sz w:val="28"/>
                  <w:szCs w:val="28"/>
                </w:rPr>
                <w:t xml:space="preserve">кодом 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hyperlink r:id="rId9">
              <w:r>
                <w:rPr>
                  <w:rFonts w:cs="Times New Roman" w:ascii="Times New Roman" w:hAnsi="Times New Roman"/>
                  <w:sz w:val="28"/>
                  <w:szCs w:val="28"/>
                </w:rPr>
                <w:t>3.2.3</w:t>
              </w:r>
            </w:hyperlink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6.8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Склады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6.9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Складские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6.9.1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космической деятельности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Целлюлозно-бумажная промышленность. 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0,018807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6.11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«Транспорт»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Хранение автотранспорта. Размещение отдельно стоящих и пристроенных одноэтажных гаражей надземных, предназначенных для хранения личного автотранспорта граждан (в том числе в квартальной жилой застройке)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0,005602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Служебные гаражи. Размещение постоянных или временных гаражей,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0,007909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0,012129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Железнодорожный транспорт. Размещение объектов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Автомобильный транспорт. Размещение зданий и сооружений автомобильного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Трубопроводный транспорт.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Улично-дорожная сеть. Размещение  проездов (земли общего пользования) гаражных кооперативов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0,005602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12.0.1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«Обеспечение обороны и безопасности»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обороны и безопасности.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0,016871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«Специальное, ритуальное использование, запас»</w:t>
            </w:r>
          </w:p>
        </w:tc>
      </w:tr>
      <w:tr>
        <w:trPr>
          <w:trHeight w:val="1447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0,024614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</w:t>
            </w:r>
          </w:p>
        </w:tc>
      </w:tr>
      <w:tr>
        <w:trPr>
          <w:trHeight w:val="2811" w:hRule="atLeast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Специальная деятельность.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0,00001037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</w:t>
            </w:r>
          </w:p>
        </w:tc>
      </w:tr>
      <w:tr>
        <w:trPr/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«Садоводство и огородничество»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 общего назначения.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0,002195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0,002195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0,002195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13.2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0,004079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0,02353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418" w:right="850" w:gutter="0" w:header="0" w:top="426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yle14">
    <w:name w:val="Hyperlink"/>
    <w:rPr>
      <w:color w:val="000080"/>
      <w:u w:val="single"/>
    </w:rPr>
  </w:style>
  <w:style w:type="character" w:styleId="EndnoteTextChar">
    <w:name w:val="Endnote Text Char"/>
    <w:qFormat/>
    <w:rPr>
      <w:sz w:val="20"/>
    </w:rPr>
  </w:style>
  <w:style w:type="character" w:styleId="FootnoteTextChar">
    <w:name w:val="Footnote Text Char"/>
    <w:qFormat/>
    <w:rPr>
      <w:sz w:val="18"/>
    </w:rPr>
  </w:style>
  <w:style w:type="character" w:styleId="CaptionChar">
    <w:name w:val="Caption Char"/>
    <w:qFormat/>
    <w:rPr/>
  </w:style>
  <w:style w:type="character" w:styleId="FooterChar">
    <w:name w:val="Footer Char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erChar">
    <w:name w:val="Header Char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basedOn w:val="DefaultParagraphFont"/>
    <w:qFormat/>
    <w:rPr>
      <w:rFonts w:ascii="Times New Roman" w:hAnsi="Times New Roman" w:eastAsia="Times New Roman" w:cs="Times New Roman"/>
      <w:color w:val="000000"/>
    </w:rPr>
  </w:style>
  <w:style w:type="character" w:styleId="TitleChar">
    <w:name w:val="Title Char"/>
    <w:basedOn w:val="DefaultParagraphFont"/>
    <w:qFormat/>
    <w:rPr>
      <w:rFonts w:ascii="Times New Roman" w:hAnsi="Times New Roman" w:eastAsia="Times New Roman" w:cs="Times New Roman"/>
      <w:color w:val="000000"/>
      <w:sz w:val="48"/>
      <w:szCs w:val="48"/>
    </w:rPr>
  </w:style>
  <w:style w:type="character" w:styleId="Heading9Char">
    <w:name w:val="Heading 9 Char"/>
    <w:basedOn w:val="DefaultParagraphFont"/>
    <w:qFormat/>
    <w:rPr>
      <w:rFonts w:ascii="Arial" w:hAnsi="Arial" w:eastAsia="Arial"/>
      <w:i/>
      <w:iCs/>
      <w:color w:val="000000"/>
      <w:sz w:val="21"/>
      <w:szCs w:val="21"/>
    </w:rPr>
  </w:style>
  <w:style w:type="character" w:styleId="Heading8Char">
    <w:name w:val="Heading 8 Char"/>
    <w:basedOn w:val="DefaultParagraphFont"/>
    <w:qFormat/>
    <w:rPr>
      <w:rFonts w:ascii="Arial" w:hAnsi="Arial" w:eastAsia="Arial"/>
      <w:i/>
      <w:iCs/>
      <w:color w:val="000000"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/>
      <w:b/>
      <w:bCs/>
      <w:i/>
      <w:iCs/>
      <w:color w:val="000000"/>
      <w:sz w:val="22"/>
      <w:szCs w:val="22"/>
    </w:rPr>
  </w:style>
  <w:style w:type="character" w:styleId="Heading6Char">
    <w:name w:val="Heading 6 Char"/>
    <w:basedOn w:val="DefaultParagraphFont"/>
    <w:qFormat/>
    <w:rPr>
      <w:rFonts w:ascii="Arial" w:hAnsi="Arial" w:eastAsia="Arial"/>
      <w:b/>
      <w:bCs/>
      <w:color w:val="000000"/>
      <w:sz w:val="22"/>
      <w:szCs w:val="22"/>
    </w:rPr>
  </w:style>
  <w:style w:type="character" w:styleId="Heading5Char">
    <w:name w:val="Heading 5 Char"/>
    <w:basedOn w:val="DefaultParagraphFont"/>
    <w:qFormat/>
    <w:rPr>
      <w:rFonts w:ascii="Arial" w:hAnsi="Arial" w:eastAsia="Arial"/>
      <w:b/>
      <w:bCs/>
      <w:color w:val="000000"/>
    </w:rPr>
  </w:style>
  <w:style w:type="character" w:styleId="Heading4Char">
    <w:name w:val="Heading 4 Char"/>
    <w:basedOn w:val="DefaultParagraphFont"/>
    <w:qFormat/>
    <w:rPr>
      <w:rFonts w:ascii="Arial" w:hAnsi="Arial" w:eastAsia="Arial"/>
      <w:b/>
      <w:bCs/>
      <w:color w:val="000000"/>
      <w:sz w:val="26"/>
      <w:szCs w:val="26"/>
    </w:rPr>
  </w:style>
  <w:style w:type="character" w:styleId="Heading3Char">
    <w:name w:val="Heading 3 Char"/>
    <w:basedOn w:val="DefaultParagraphFont"/>
    <w:qFormat/>
    <w:rPr>
      <w:rFonts w:ascii="Arial" w:hAnsi="Arial" w:eastAsia="Arial"/>
      <w:color w:val="000000"/>
      <w:sz w:val="30"/>
      <w:szCs w:val="30"/>
    </w:rPr>
  </w:style>
  <w:style w:type="character" w:styleId="Heading2Char">
    <w:name w:val="Heading 2 Char"/>
    <w:basedOn w:val="DefaultParagraphFont"/>
    <w:qFormat/>
    <w:rPr>
      <w:rFonts w:ascii="Arial" w:hAnsi="Arial" w:eastAsia="Arial"/>
      <w:color w:val="000000"/>
      <w:sz w:val="34"/>
      <w:szCs w:val="24"/>
    </w:rPr>
  </w:style>
  <w:style w:type="character" w:styleId="Heading1Char">
    <w:name w:val="Heading 1 Char"/>
    <w:basedOn w:val="DefaultParagraphFont"/>
    <w:qFormat/>
    <w:rPr>
      <w:rFonts w:ascii="Arial" w:hAnsi="Arial" w:eastAsia="Arial"/>
      <w:color w:val="000000"/>
      <w:sz w:val="40"/>
      <w:szCs w:val="4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Calibri" w:cs="Arial"/>
      <w:color w:val="000000"/>
      <w:kern w:val="2"/>
      <w:sz w:val="24"/>
      <w:szCs w:val="24"/>
      <w:lang w:val="ru-RU" w:eastAsia="en-US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ourier New" w:hAnsi="Courier New" w:eastAsia="0" w:cs="Courier New"/>
      <w:color w:val="auto"/>
      <w:kern w:val="2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qFormat/>
    <w:pPr/>
    <w:rPr/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ind w:left="720" w:right="720" w:hanging="0"/>
    </w:pPr>
    <w:rPr>
      <w:i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Autospacing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3B6A04589438C2B98BA55F9CBD71B51AABAF5184CE32B18759B759A42FE201784ED64915B2120BCFB6AD289EDC12C26F40EAFC2035656G" TargetMode="External"/><Relationship Id="rId4" Type="http://schemas.openxmlformats.org/officeDocument/2006/relationships/hyperlink" Target="consultantplus://offline/ref=B3B6A04589438C2B98BA55F9CBD71B51AABAF5184CE32B18759B759A42FE201784ED6497522E20BCFB6AD289EDC12C26F40EAFC2035656G" TargetMode="External"/><Relationship Id="rId5" Type="http://schemas.openxmlformats.org/officeDocument/2006/relationships/hyperlink" Target="consultantplus://offline/ref=B3B6A04589438C2B98BA55F9CBD71B51AABAF5184CE32B18759B759A42FE201784ED649353272EEEAB25D3D5A9913F27F00EACC31F6413605954G" TargetMode="External"/><Relationship Id="rId6" Type="http://schemas.openxmlformats.org/officeDocument/2006/relationships/hyperlink" Target="consultantplus://offline/ref=B3B6A04589438C2B98BA4BF4DDBB445EAAB4AC1747E729482CCE73CD1DAE2642C4AD62C6106326E9AA2E838DECCF6676B145A0C2047812638A0CA4BF555AG" TargetMode="External"/><Relationship Id="rId7" Type="http://schemas.openxmlformats.org/officeDocument/2006/relationships/hyperlink" Target="consultantplus://offline/ref=B3B6A04589438C2B98BA4BF4DDBB445EAAB4AC1747E6214E2DCF73CD1DAE2642C4AD62C6106326E9AA2F8483EFCF6676B145A0C2047812638A0CA4BF555AG" TargetMode="External"/><Relationship Id="rId8" Type="http://schemas.openxmlformats.org/officeDocument/2006/relationships/hyperlink" Target="consultantplus://offline/ref=6215259F733ABC8A68B23B77BB9CB67DE261CEAC9F8973C6D4CC5BFF1B9586A6882D00FFDB1EBEA34894343AFEDA33B3842752AB51G6j7J" TargetMode="External"/><Relationship Id="rId9" Type="http://schemas.openxmlformats.org/officeDocument/2006/relationships/hyperlink" Target="consultantplus://offline/ref=6215259F733ABC8A68B23B77BB9CB67DE261CEAC9F8973C6D4CC5BFF1B9586A6882D00FFD419BEA34894343AFEDA33B3842752AB51G6j7J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EFB6-3A7D-49BD-9731-8137E377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LibreOffice/7.4.5.1$Windows_X86_64 LibreOffice_project/9c0871452b3918c1019dde9bfac75448afc4b57f</Application>
  <AppVersion>15.0000</AppVersion>
  <Pages>10</Pages>
  <Words>1985</Words>
  <Characters>15533</Characters>
  <CharactersWithSpaces>17479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Свентицкая</dc:creator>
  <dc:description/>
  <dc:language>ru-RU</dc:language>
  <cp:lastModifiedBy/>
  <cp:lastPrinted>2023-02-14T15:02:19Z</cp:lastPrinted>
  <dcterms:modified xsi:type="dcterms:W3CDTF">2023-02-14T15:18:08Z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